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D7B062">
      <w:pPr>
        <w:keepNext w:val="0"/>
        <w:keepLines w:val="0"/>
        <w:pageBreakBefore w:val="0"/>
        <w:widowControl/>
        <w:kinsoku/>
        <w:wordWrap/>
        <w:overflowPunct/>
        <w:topLinePunct w:val="0"/>
        <w:autoSpaceDE/>
        <w:autoSpaceDN/>
        <w:bidi w:val="0"/>
        <w:adjustRightInd/>
        <w:snapToGrid/>
        <w:spacing w:line="300" w:lineRule="auto"/>
        <w:ind w:left="-511" w:leftChars="-213" w:firstLine="803" w:firstLineChars="200"/>
        <w:jc w:val="center"/>
        <w:textAlignment w:val="auto"/>
        <w:outlineLvl w:val="0"/>
        <w:rPr>
          <w:rFonts w:ascii="宋体" w:hAnsi="宋体" w:eastAsia="宋体"/>
          <w:color w:val="auto"/>
          <w:sz w:val="24"/>
          <w:highlight w:val="none"/>
          <w:lang w:eastAsia="zh-CN"/>
        </w:rPr>
      </w:pPr>
      <w:bookmarkStart w:id="0" w:name="_Toc9693"/>
      <w:r>
        <w:rPr>
          <w:rFonts w:ascii="Times New Roman" w:hAnsi="Times New Roman" w:eastAsia="宋体" w:cs="Times New Roman"/>
          <w:b/>
          <w:bCs/>
          <w:color w:val="auto"/>
          <w:kern w:val="2"/>
          <w:sz w:val="40"/>
          <w:szCs w:val="40"/>
          <w:highlight w:val="none"/>
          <w:lang w:val="en-US" w:eastAsia="zh-CN" w:bidi="ar-SA"/>
        </w:rPr>
        <w:t>第六章  合同草案条款（参考文本）</w:t>
      </w:r>
      <w:bookmarkEnd w:id="0"/>
    </w:p>
    <w:p w14:paraId="16ED68BC">
      <w:pPr>
        <w:pStyle w:val="14"/>
        <w:ind w:firstLine="440"/>
        <w:rPr>
          <w:rFonts w:hAnsi="宋体"/>
          <w:color w:val="auto"/>
          <w:sz w:val="22"/>
          <w:szCs w:val="21"/>
          <w:highlight w:val="none"/>
        </w:rPr>
      </w:pPr>
    </w:p>
    <w:p w14:paraId="6D530CF5">
      <w:pPr>
        <w:pStyle w:val="14"/>
        <w:ind w:firstLine="440"/>
        <w:rPr>
          <w:color w:val="auto"/>
          <w:sz w:val="22"/>
          <w:szCs w:val="21"/>
          <w:highlight w:val="none"/>
        </w:rPr>
      </w:pPr>
      <w:r>
        <w:rPr>
          <w:rFonts w:hint="eastAsia" w:hAnsi="宋体"/>
          <w:color w:val="auto"/>
          <w:sz w:val="22"/>
          <w:szCs w:val="21"/>
          <w:highlight w:val="none"/>
        </w:rPr>
        <w:t>合同编号：</w:t>
      </w:r>
      <w:r>
        <w:rPr>
          <w:rFonts w:hint="eastAsia"/>
          <w:color w:val="auto"/>
          <w:sz w:val="22"/>
          <w:szCs w:val="21"/>
          <w:highlight w:val="none"/>
        </w:rPr>
        <w:t>XXXX。</w:t>
      </w:r>
    </w:p>
    <w:p w14:paraId="313D7D7C">
      <w:pPr>
        <w:pStyle w:val="14"/>
        <w:ind w:firstLine="440"/>
        <w:rPr>
          <w:rFonts w:hAnsi="宋体"/>
          <w:color w:val="auto"/>
          <w:sz w:val="22"/>
          <w:szCs w:val="21"/>
          <w:highlight w:val="none"/>
        </w:rPr>
      </w:pPr>
      <w:r>
        <w:rPr>
          <w:rFonts w:hint="eastAsia" w:hAnsi="宋体"/>
          <w:color w:val="auto"/>
          <w:sz w:val="22"/>
          <w:szCs w:val="21"/>
          <w:highlight w:val="none"/>
        </w:rPr>
        <w:t>签订地点：</w:t>
      </w:r>
      <w:r>
        <w:rPr>
          <w:rFonts w:hint="eastAsia"/>
          <w:color w:val="auto"/>
          <w:sz w:val="22"/>
          <w:szCs w:val="21"/>
          <w:highlight w:val="none"/>
        </w:rPr>
        <w:t>XXXX。</w:t>
      </w:r>
    </w:p>
    <w:p w14:paraId="0DBDC5E4">
      <w:pPr>
        <w:pStyle w:val="14"/>
        <w:ind w:firstLine="440"/>
        <w:rPr>
          <w:rFonts w:hAnsi="宋体"/>
          <w:color w:val="auto"/>
          <w:sz w:val="22"/>
          <w:szCs w:val="21"/>
          <w:highlight w:val="none"/>
        </w:rPr>
      </w:pPr>
      <w:r>
        <w:rPr>
          <w:rFonts w:hint="eastAsia" w:hAnsi="宋体"/>
          <w:color w:val="auto"/>
          <w:sz w:val="22"/>
          <w:szCs w:val="21"/>
          <w:highlight w:val="none"/>
        </w:rPr>
        <w:t>签订时间：</w:t>
      </w:r>
      <w:r>
        <w:rPr>
          <w:rFonts w:hint="eastAsia"/>
          <w:color w:val="auto"/>
          <w:sz w:val="22"/>
          <w:szCs w:val="21"/>
          <w:highlight w:val="none"/>
        </w:rPr>
        <w:t>XXXX年XX月XX日。</w:t>
      </w:r>
    </w:p>
    <w:p w14:paraId="1FE6EF47">
      <w:pPr>
        <w:pStyle w:val="14"/>
        <w:ind w:firstLine="440"/>
        <w:rPr>
          <w:rFonts w:hAnsi="宋体"/>
          <w:color w:val="auto"/>
          <w:sz w:val="22"/>
          <w:szCs w:val="21"/>
          <w:highlight w:val="none"/>
        </w:rPr>
      </w:pPr>
    </w:p>
    <w:p w14:paraId="351DE770">
      <w:pPr>
        <w:pStyle w:val="14"/>
        <w:ind w:firstLine="440"/>
        <w:rPr>
          <w:rFonts w:hAnsi="宋体"/>
          <w:color w:val="auto"/>
          <w:sz w:val="22"/>
          <w:szCs w:val="21"/>
          <w:highlight w:val="none"/>
        </w:rPr>
      </w:pPr>
      <w:r>
        <w:rPr>
          <w:rFonts w:hint="eastAsia" w:hAnsi="宋体"/>
          <w:color w:val="auto"/>
          <w:sz w:val="22"/>
          <w:szCs w:val="21"/>
          <w:highlight w:val="none"/>
        </w:rPr>
        <w:t>采购人（甲方）：</w:t>
      </w:r>
    </w:p>
    <w:p w14:paraId="63009A09">
      <w:pPr>
        <w:pStyle w:val="14"/>
        <w:ind w:firstLine="440"/>
        <w:rPr>
          <w:rFonts w:hAnsi="宋体"/>
          <w:color w:val="auto"/>
          <w:sz w:val="22"/>
          <w:szCs w:val="21"/>
          <w:highlight w:val="none"/>
        </w:rPr>
      </w:pPr>
      <w:r>
        <w:rPr>
          <w:rFonts w:hint="eastAsia" w:hAnsi="宋体"/>
          <w:color w:val="auto"/>
          <w:sz w:val="22"/>
          <w:szCs w:val="21"/>
          <w:highlight w:val="none"/>
        </w:rPr>
        <w:t>供应商（乙方）：</w:t>
      </w:r>
    </w:p>
    <w:p w14:paraId="4E056228">
      <w:pPr>
        <w:pStyle w:val="14"/>
        <w:ind w:firstLine="440"/>
        <w:rPr>
          <w:rFonts w:hAnsi="宋体"/>
          <w:color w:val="auto"/>
          <w:sz w:val="22"/>
          <w:szCs w:val="21"/>
          <w:highlight w:val="none"/>
        </w:rPr>
      </w:pPr>
      <w:r>
        <w:rPr>
          <w:rFonts w:hint="eastAsia" w:hAnsi="宋体"/>
          <w:color w:val="auto"/>
          <w:sz w:val="22"/>
          <w:szCs w:val="21"/>
          <w:highlight w:val="none"/>
        </w:rPr>
        <w:t>根据《中华人民共和国政府采购法》、《中华人民共和国民法典》及</w:t>
      </w:r>
      <w:r>
        <w:rPr>
          <w:rFonts w:hint="eastAsia"/>
          <w:color w:val="auto"/>
          <w:sz w:val="22"/>
          <w:szCs w:val="21"/>
          <w:highlight w:val="none"/>
          <w:lang w:eastAsia="zh-CN"/>
        </w:rPr>
        <w:t>亿诚建设项目管理有限公司</w:t>
      </w:r>
      <w:r>
        <w:rPr>
          <w:rFonts w:hint="eastAsia" w:hAnsi="宋体"/>
          <w:color w:val="auto"/>
          <w:sz w:val="22"/>
          <w:szCs w:val="21"/>
          <w:highlight w:val="none"/>
        </w:rPr>
        <w:t>采购项目（项目编号：</w:t>
      </w:r>
      <w:r>
        <w:rPr>
          <w:rFonts w:hint="eastAsia"/>
          <w:color w:val="auto"/>
          <w:sz w:val="22"/>
          <w:szCs w:val="21"/>
          <w:highlight w:val="none"/>
        </w:rPr>
        <w:t>XX</w:t>
      </w:r>
      <w:r>
        <w:rPr>
          <w:rFonts w:hint="eastAsia" w:hAnsi="宋体"/>
          <w:color w:val="auto"/>
          <w:sz w:val="22"/>
          <w:szCs w:val="21"/>
          <w:highlight w:val="none"/>
        </w:rPr>
        <w:t>）的《采购文件》、乙方的《</w:t>
      </w:r>
      <w:r>
        <w:rPr>
          <w:rFonts w:hint="eastAsia" w:hAnsi="宋体"/>
          <w:color w:val="auto"/>
          <w:sz w:val="22"/>
          <w:szCs w:val="21"/>
          <w:highlight w:val="none"/>
          <w:lang w:eastAsia="zh-CN"/>
        </w:rPr>
        <w:t>响应文件</w:t>
      </w:r>
      <w:r>
        <w:rPr>
          <w:rFonts w:hint="eastAsia" w:hAnsi="宋体"/>
          <w:color w:val="auto"/>
          <w:sz w:val="22"/>
          <w:szCs w:val="21"/>
          <w:highlight w:val="none"/>
        </w:rPr>
        <w:t>》及《中标通知书》，甲、乙双方同意签订本合同。详细技术说明及其他有关合同项目的特定信息由合同附件予以说明，合同附件及本项目的采购文件、</w:t>
      </w:r>
      <w:r>
        <w:rPr>
          <w:rFonts w:hint="eastAsia" w:hAnsi="宋体"/>
          <w:color w:val="auto"/>
          <w:sz w:val="22"/>
          <w:szCs w:val="21"/>
          <w:highlight w:val="none"/>
          <w:lang w:eastAsia="zh-CN"/>
        </w:rPr>
        <w:t>响应文件</w:t>
      </w:r>
      <w:r>
        <w:rPr>
          <w:rFonts w:hint="eastAsia" w:hAnsi="宋体"/>
          <w:color w:val="auto"/>
          <w:sz w:val="22"/>
          <w:szCs w:val="21"/>
          <w:highlight w:val="none"/>
        </w:rPr>
        <w:t>、《中标通知书》等均为本合同不可分割的部分。双方同意共同遵守如下条款：</w:t>
      </w:r>
    </w:p>
    <w:p w14:paraId="00F3DF52">
      <w:pPr>
        <w:pStyle w:val="3"/>
        <w:tabs>
          <w:tab w:val="left" w:pos="720"/>
        </w:tabs>
        <w:spacing w:line="400" w:lineRule="exact"/>
        <w:ind w:firstLine="442" w:firstLineChars="200"/>
        <w:jc w:val="left"/>
        <w:rPr>
          <w:rFonts w:ascii="黑体" w:hAnsi="宋体"/>
          <w:color w:val="auto"/>
          <w:sz w:val="22"/>
          <w:szCs w:val="22"/>
          <w:highlight w:val="none"/>
        </w:rPr>
      </w:pPr>
      <w:bookmarkStart w:id="1" w:name="_Toc217446107"/>
      <w:r>
        <w:rPr>
          <w:rFonts w:hint="eastAsia" w:ascii="黑体" w:hAnsi="宋体"/>
          <w:color w:val="auto"/>
          <w:sz w:val="22"/>
          <w:szCs w:val="22"/>
          <w:highlight w:val="none"/>
        </w:rPr>
        <w:t>一、合同货物</w:t>
      </w:r>
      <w:bookmarkEnd w:id="1"/>
    </w:p>
    <w:tbl>
      <w:tblPr>
        <w:tblStyle w:val="11"/>
        <w:tblW w:w="8686" w:type="dxa"/>
        <w:tblInd w:w="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9"/>
        <w:gridCol w:w="960"/>
        <w:gridCol w:w="720"/>
        <w:gridCol w:w="825"/>
        <w:gridCol w:w="1800"/>
        <w:gridCol w:w="1335"/>
        <w:gridCol w:w="1217"/>
        <w:gridCol w:w="1110"/>
      </w:tblGrid>
      <w:tr w14:paraId="3D476D6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3" w:hRule="atLeast"/>
        </w:trPr>
        <w:tc>
          <w:tcPr>
            <w:tcW w:w="719" w:type="dxa"/>
            <w:tcBorders>
              <w:top w:val="single" w:color="auto" w:sz="4" w:space="0"/>
              <w:left w:val="single" w:color="auto" w:sz="4" w:space="0"/>
              <w:bottom w:val="single" w:color="auto" w:sz="4" w:space="0"/>
              <w:right w:val="single" w:color="auto" w:sz="4" w:space="0"/>
            </w:tcBorders>
            <w:noWrap/>
            <w:vAlign w:val="center"/>
          </w:tcPr>
          <w:p w14:paraId="5DB61C04">
            <w:pPr>
              <w:spacing w:line="400" w:lineRule="exact"/>
              <w:rPr>
                <w:rFonts w:hAnsi="宋体"/>
                <w:color w:val="auto"/>
                <w:sz w:val="22"/>
                <w:szCs w:val="21"/>
                <w:highlight w:val="none"/>
              </w:rPr>
            </w:pPr>
            <w:r>
              <w:rPr>
                <w:rFonts w:hint="eastAsia" w:hAnsi="宋体" w:cs="Arial"/>
                <w:color w:val="auto"/>
                <w:sz w:val="22"/>
                <w:szCs w:val="21"/>
                <w:highlight w:val="none"/>
              </w:rPr>
              <w:t>货物品名</w:t>
            </w:r>
          </w:p>
        </w:tc>
        <w:tc>
          <w:tcPr>
            <w:tcW w:w="960" w:type="dxa"/>
            <w:tcBorders>
              <w:top w:val="single" w:color="auto" w:sz="4" w:space="0"/>
              <w:left w:val="single" w:color="auto" w:sz="4" w:space="0"/>
              <w:bottom w:val="single" w:color="auto" w:sz="4" w:space="0"/>
              <w:right w:val="single" w:color="auto" w:sz="4" w:space="0"/>
            </w:tcBorders>
            <w:noWrap/>
            <w:vAlign w:val="center"/>
          </w:tcPr>
          <w:p w14:paraId="05C3A5A5">
            <w:pPr>
              <w:spacing w:line="400" w:lineRule="exact"/>
              <w:jc w:val="center"/>
              <w:rPr>
                <w:rFonts w:hAnsi="宋体" w:cs="Arial"/>
                <w:color w:val="auto"/>
                <w:sz w:val="22"/>
                <w:szCs w:val="21"/>
                <w:highlight w:val="none"/>
              </w:rPr>
            </w:pPr>
            <w:r>
              <w:rPr>
                <w:rFonts w:hint="eastAsia" w:hAnsi="宋体" w:cs="Arial"/>
                <w:color w:val="auto"/>
                <w:sz w:val="22"/>
                <w:szCs w:val="21"/>
                <w:highlight w:val="none"/>
              </w:rPr>
              <w:t>规格</w:t>
            </w:r>
          </w:p>
          <w:p w14:paraId="163B4F97">
            <w:pPr>
              <w:spacing w:line="400" w:lineRule="exact"/>
              <w:jc w:val="center"/>
              <w:rPr>
                <w:rFonts w:hAnsi="宋体"/>
                <w:color w:val="auto"/>
                <w:sz w:val="22"/>
                <w:szCs w:val="21"/>
                <w:highlight w:val="none"/>
              </w:rPr>
            </w:pPr>
            <w:r>
              <w:rPr>
                <w:rFonts w:hint="eastAsia" w:hAnsi="宋体" w:cs="Arial"/>
                <w:color w:val="auto"/>
                <w:sz w:val="22"/>
                <w:szCs w:val="21"/>
                <w:highlight w:val="none"/>
              </w:rPr>
              <w:t>型号</w:t>
            </w:r>
          </w:p>
        </w:tc>
        <w:tc>
          <w:tcPr>
            <w:tcW w:w="720" w:type="dxa"/>
            <w:tcBorders>
              <w:top w:val="single" w:color="auto" w:sz="4" w:space="0"/>
              <w:left w:val="single" w:color="auto" w:sz="4" w:space="0"/>
              <w:bottom w:val="single" w:color="auto" w:sz="4" w:space="0"/>
              <w:right w:val="single" w:color="auto" w:sz="4" w:space="0"/>
            </w:tcBorders>
            <w:noWrap/>
            <w:vAlign w:val="center"/>
          </w:tcPr>
          <w:p w14:paraId="0E459168">
            <w:pPr>
              <w:spacing w:line="400" w:lineRule="exact"/>
              <w:rPr>
                <w:rFonts w:hAnsi="宋体"/>
                <w:color w:val="auto"/>
                <w:sz w:val="22"/>
                <w:szCs w:val="21"/>
                <w:highlight w:val="none"/>
              </w:rPr>
            </w:pPr>
            <w:r>
              <w:rPr>
                <w:rFonts w:hint="eastAsia" w:hAnsi="宋体" w:cs="Arial"/>
                <w:color w:val="auto"/>
                <w:sz w:val="22"/>
                <w:szCs w:val="21"/>
                <w:highlight w:val="none"/>
              </w:rPr>
              <w:t>单位</w:t>
            </w:r>
          </w:p>
        </w:tc>
        <w:tc>
          <w:tcPr>
            <w:tcW w:w="825" w:type="dxa"/>
            <w:tcBorders>
              <w:top w:val="single" w:color="auto" w:sz="4" w:space="0"/>
              <w:left w:val="single" w:color="auto" w:sz="4" w:space="0"/>
              <w:bottom w:val="single" w:color="auto" w:sz="4" w:space="0"/>
              <w:right w:val="single" w:color="auto" w:sz="4" w:space="0"/>
            </w:tcBorders>
            <w:noWrap/>
            <w:vAlign w:val="center"/>
          </w:tcPr>
          <w:p w14:paraId="26275761">
            <w:pPr>
              <w:spacing w:line="400" w:lineRule="exact"/>
              <w:ind w:firstLine="110" w:firstLineChars="50"/>
              <w:rPr>
                <w:rFonts w:hAnsi="宋体"/>
                <w:color w:val="auto"/>
                <w:sz w:val="22"/>
                <w:szCs w:val="21"/>
                <w:highlight w:val="none"/>
              </w:rPr>
            </w:pPr>
            <w:r>
              <w:rPr>
                <w:rFonts w:hint="eastAsia" w:hAnsi="宋体" w:cs="Arial"/>
                <w:color w:val="auto"/>
                <w:sz w:val="22"/>
                <w:szCs w:val="21"/>
                <w:highlight w:val="none"/>
              </w:rPr>
              <w:t>数量</w:t>
            </w:r>
          </w:p>
        </w:tc>
        <w:tc>
          <w:tcPr>
            <w:tcW w:w="1800" w:type="dxa"/>
            <w:tcBorders>
              <w:top w:val="single" w:color="auto" w:sz="4" w:space="0"/>
              <w:left w:val="single" w:color="auto" w:sz="4" w:space="0"/>
              <w:bottom w:val="single" w:color="auto" w:sz="4" w:space="0"/>
              <w:right w:val="single" w:color="auto" w:sz="4" w:space="0"/>
            </w:tcBorders>
            <w:noWrap/>
            <w:vAlign w:val="center"/>
          </w:tcPr>
          <w:p w14:paraId="3B3F1185">
            <w:pPr>
              <w:spacing w:line="400" w:lineRule="exact"/>
              <w:rPr>
                <w:rFonts w:hAnsi="宋体" w:cs="Arial"/>
                <w:color w:val="auto"/>
                <w:sz w:val="22"/>
                <w:szCs w:val="21"/>
                <w:highlight w:val="none"/>
              </w:rPr>
            </w:pPr>
            <w:r>
              <w:rPr>
                <w:rFonts w:hint="eastAsia" w:hAnsi="宋体" w:cs="Arial"/>
                <w:color w:val="auto"/>
                <w:sz w:val="22"/>
                <w:szCs w:val="21"/>
                <w:highlight w:val="none"/>
              </w:rPr>
              <w:t>单价（万元）</w:t>
            </w:r>
          </w:p>
        </w:tc>
        <w:tc>
          <w:tcPr>
            <w:tcW w:w="1335" w:type="dxa"/>
            <w:tcBorders>
              <w:top w:val="single" w:color="auto" w:sz="4" w:space="0"/>
              <w:left w:val="single" w:color="auto" w:sz="4" w:space="0"/>
              <w:bottom w:val="single" w:color="auto" w:sz="4" w:space="0"/>
              <w:right w:val="single" w:color="auto" w:sz="4" w:space="0"/>
            </w:tcBorders>
            <w:noWrap/>
            <w:vAlign w:val="center"/>
          </w:tcPr>
          <w:p w14:paraId="44F4B3D9">
            <w:pPr>
              <w:spacing w:line="400" w:lineRule="exact"/>
              <w:ind w:firstLine="220" w:firstLineChars="100"/>
              <w:rPr>
                <w:rFonts w:hAnsi="宋体" w:cs="Arial"/>
                <w:color w:val="auto"/>
                <w:sz w:val="22"/>
                <w:szCs w:val="21"/>
                <w:highlight w:val="none"/>
              </w:rPr>
            </w:pPr>
            <w:r>
              <w:rPr>
                <w:rFonts w:hint="eastAsia" w:hAnsi="宋体" w:cs="Arial"/>
                <w:color w:val="auto"/>
                <w:sz w:val="22"/>
                <w:szCs w:val="21"/>
                <w:highlight w:val="none"/>
              </w:rPr>
              <w:t>总价</w:t>
            </w:r>
          </w:p>
          <w:p w14:paraId="49D94F14">
            <w:pPr>
              <w:spacing w:line="400" w:lineRule="exact"/>
              <w:rPr>
                <w:rFonts w:hAnsi="宋体"/>
                <w:color w:val="auto"/>
                <w:sz w:val="22"/>
                <w:szCs w:val="21"/>
                <w:highlight w:val="none"/>
              </w:rPr>
            </w:pPr>
            <w:r>
              <w:rPr>
                <w:rFonts w:hint="eastAsia" w:hAnsi="宋体" w:cs="Arial"/>
                <w:color w:val="auto"/>
                <w:sz w:val="22"/>
                <w:szCs w:val="21"/>
                <w:highlight w:val="none"/>
              </w:rPr>
              <w:t>（万元）</w:t>
            </w:r>
          </w:p>
        </w:tc>
        <w:tc>
          <w:tcPr>
            <w:tcW w:w="1217" w:type="dxa"/>
            <w:tcBorders>
              <w:top w:val="single" w:color="auto" w:sz="4" w:space="0"/>
              <w:left w:val="single" w:color="auto" w:sz="4" w:space="0"/>
              <w:bottom w:val="single" w:color="auto" w:sz="4" w:space="0"/>
              <w:right w:val="single" w:color="auto" w:sz="4" w:space="0"/>
            </w:tcBorders>
            <w:noWrap/>
            <w:vAlign w:val="center"/>
          </w:tcPr>
          <w:p w14:paraId="446EBE7E">
            <w:pPr>
              <w:spacing w:line="400" w:lineRule="exact"/>
              <w:jc w:val="center"/>
              <w:rPr>
                <w:rFonts w:hAnsi="宋体"/>
                <w:color w:val="auto"/>
                <w:sz w:val="22"/>
                <w:szCs w:val="21"/>
                <w:highlight w:val="none"/>
              </w:rPr>
            </w:pPr>
            <w:r>
              <w:rPr>
                <w:rFonts w:hint="eastAsia" w:hAnsi="宋体" w:cs="Arial"/>
                <w:color w:val="auto"/>
                <w:sz w:val="22"/>
                <w:szCs w:val="21"/>
                <w:highlight w:val="none"/>
              </w:rPr>
              <w:t>配件</w:t>
            </w:r>
          </w:p>
        </w:tc>
        <w:tc>
          <w:tcPr>
            <w:tcW w:w="1110" w:type="dxa"/>
            <w:tcBorders>
              <w:top w:val="single" w:color="auto" w:sz="4" w:space="0"/>
              <w:left w:val="single" w:color="auto" w:sz="4" w:space="0"/>
              <w:bottom w:val="single" w:color="auto" w:sz="4" w:space="0"/>
              <w:right w:val="single" w:color="auto" w:sz="4" w:space="0"/>
            </w:tcBorders>
            <w:noWrap/>
            <w:vAlign w:val="center"/>
          </w:tcPr>
          <w:p w14:paraId="664287EC">
            <w:pPr>
              <w:spacing w:line="400" w:lineRule="exact"/>
              <w:ind w:firstLine="110" w:firstLineChars="50"/>
              <w:rPr>
                <w:rFonts w:hAnsi="宋体"/>
                <w:color w:val="auto"/>
                <w:sz w:val="22"/>
                <w:szCs w:val="21"/>
                <w:highlight w:val="none"/>
              </w:rPr>
            </w:pPr>
            <w:r>
              <w:rPr>
                <w:rFonts w:hint="eastAsia" w:hAnsi="宋体" w:cs="Arial"/>
                <w:color w:val="auto"/>
                <w:sz w:val="22"/>
                <w:szCs w:val="21"/>
                <w:highlight w:val="none"/>
              </w:rPr>
              <w:t>交货期</w:t>
            </w:r>
          </w:p>
        </w:tc>
      </w:tr>
      <w:tr w14:paraId="710D578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719" w:type="dxa"/>
            <w:tcBorders>
              <w:top w:val="single" w:color="auto" w:sz="4" w:space="0"/>
              <w:left w:val="single" w:color="auto" w:sz="4" w:space="0"/>
              <w:bottom w:val="single" w:color="auto" w:sz="4" w:space="0"/>
              <w:right w:val="single" w:color="auto" w:sz="4" w:space="0"/>
            </w:tcBorders>
            <w:noWrap/>
            <w:vAlign w:val="center"/>
          </w:tcPr>
          <w:p w14:paraId="4C2FA557">
            <w:pPr>
              <w:spacing w:line="400" w:lineRule="exact"/>
              <w:jc w:val="center"/>
              <w:rPr>
                <w:rFonts w:hAnsi="宋体"/>
                <w:color w:val="auto"/>
                <w:sz w:val="22"/>
                <w:szCs w:val="21"/>
                <w:highlight w:val="none"/>
              </w:rPr>
            </w:pPr>
            <w:r>
              <w:rPr>
                <w:rFonts w:hAnsi="宋体"/>
                <w:color w:val="auto"/>
                <w:sz w:val="22"/>
                <w:szCs w:val="21"/>
                <w:highlight w:val="none"/>
              </w:rPr>
              <w:t> </w:t>
            </w:r>
          </w:p>
        </w:tc>
        <w:tc>
          <w:tcPr>
            <w:tcW w:w="960" w:type="dxa"/>
            <w:tcBorders>
              <w:top w:val="single" w:color="auto" w:sz="4" w:space="0"/>
              <w:left w:val="single" w:color="auto" w:sz="4" w:space="0"/>
              <w:bottom w:val="single" w:color="auto" w:sz="4" w:space="0"/>
              <w:right w:val="single" w:color="auto" w:sz="4" w:space="0"/>
            </w:tcBorders>
            <w:noWrap/>
            <w:vAlign w:val="center"/>
          </w:tcPr>
          <w:p w14:paraId="483EA054">
            <w:pPr>
              <w:spacing w:line="400" w:lineRule="exact"/>
              <w:jc w:val="center"/>
              <w:rPr>
                <w:rFonts w:hAnsi="宋体"/>
                <w:color w:val="auto"/>
                <w:sz w:val="22"/>
                <w:szCs w:val="21"/>
                <w:highlight w:val="none"/>
              </w:rPr>
            </w:pPr>
            <w:r>
              <w:rPr>
                <w:rFonts w:hAnsi="宋体"/>
                <w:color w:val="auto"/>
                <w:sz w:val="22"/>
                <w:szCs w:val="21"/>
                <w:highlight w:val="none"/>
              </w:rPr>
              <w:t> </w:t>
            </w:r>
          </w:p>
        </w:tc>
        <w:tc>
          <w:tcPr>
            <w:tcW w:w="720" w:type="dxa"/>
            <w:tcBorders>
              <w:top w:val="single" w:color="auto" w:sz="4" w:space="0"/>
              <w:left w:val="single" w:color="auto" w:sz="4" w:space="0"/>
              <w:bottom w:val="single" w:color="auto" w:sz="4" w:space="0"/>
              <w:right w:val="single" w:color="auto" w:sz="4" w:space="0"/>
            </w:tcBorders>
            <w:noWrap/>
            <w:vAlign w:val="center"/>
          </w:tcPr>
          <w:p w14:paraId="7B7E98E0">
            <w:pPr>
              <w:spacing w:line="400" w:lineRule="exact"/>
              <w:jc w:val="center"/>
              <w:rPr>
                <w:rFonts w:hAnsi="宋体"/>
                <w:color w:val="auto"/>
                <w:sz w:val="22"/>
                <w:szCs w:val="21"/>
                <w:highlight w:val="none"/>
              </w:rPr>
            </w:pPr>
            <w:r>
              <w:rPr>
                <w:rFonts w:hAnsi="宋体"/>
                <w:color w:val="auto"/>
                <w:sz w:val="22"/>
                <w:szCs w:val="21"/>
                <w:highlight w:val="none"/>
              </w:rPr>
              <w:t> </w:t>
            </w:r>
          </w:p>
        </w:tc>
        <w:tc>
          <w:tcPr>
            <w:tcW w:w="825" w:type="dxa"/>
            <w:tcBorders>
              <w:top w:val="single" w:color="auto" w:sz="4" w:space="0"/>
              <w:left w:val="single" w:color="auto" w:sz="4" w:space="0"/>
              <w:bottom w:val="single" w:color="auto" w:sz="4" w:space="0"/>
              <w:right w:val="single" w:color="auto" w:sz="4" w:space="0"/>
            </w:tcBorders>
            <w:noWrap/>
            <w:vAlign w:val="center"/>
          </w:tcPr>
          <w:p w14:paraId="4984828C">
            <w:pPr>
              <w:spacing w:line="400" w:lineRule="exact"/>
              <w:jc w:val="center"/>
              <w:rPr>
                <w:rFonts w:hAnsi="宋体"/>
                <w:color w:val="auto"/>
                <w:sz w:val="22"/>
                <w:szCs w:val="21"/>
                <w:highlight w:val="none"/>
              </w:rPr>
            </w:pPr>
            <w:r>
              <w:rPr>
                <w:rFonts w:hAnsi="宋体"/>
                <w:color w:val="auto"/>
                <w:sz w:val="22"/>
                <w:szCs w:val="21"/>
                <w:highlight w:val="none"/>
              </w:rPr>
              <w:t> </w:t>
            </w:r>
          </w:p>
        </w:tc>
        <w:tc>
          <w:tcPr>
            <w:tcW w:w="1800" w:type="dxa"/>
            <w:tcBorders>
              <w:top w:val="single" w:color="auto" w:sz="4" w:space="0"/>
              <w:left w:val="single" w:color="auto" w:sz="4" w:space="0"/>
              <w:bottom w:val="single" w:color="auto" w:sz="4" w:space="0"/>
              <w:right w:val="single" w:color="auto" w:sz="4" w:space="0"/>
            </w:tcBorders>
            <w:noWrap/>
            <w:vAlign w:val="center"/>
          </w:tcPr>
          <w:p w14:paraId="6036E447">
            <w:pPr>
              <w:spacing w:line="400" w:lineRule="exact"/>
              <w:jc w:val="center"/>
              <w:rPr>
                <w:rFonts w:hAnsi="宋体"/>
                <w:color w:val="auto"/>
                <w:sz w:val="22"/>
                <w:szCs w:val="21"/>
                <w:highlight w:val="none"/>
              </w:rPr>
            </w:pPr>
            <w:r>
              <w:rPr>
                <w:rFonts w:hAnsi="宋体"/>
                <w:color w:val="auto"/>
                <w:sz w:val="22"/>
                <w:szCs w:val="21"/>
                <w:highlight w:val="none"/>
              </w:rPr>
              <w:t> </w:t>
            </w:r>
          </w:p>
        </w:tc>
        <w:tc>
          <w:tcPr>
            <w:tcW w:w="1335" w:type="dxa"/>
            <w:tcBorders>
              <w:top w:val="single" w:color="auto" w:sz="4" w:space="0"/>
              <w:left w:val="single" w:color="auto" w:sz="4" w:space="0"/>
              <w:bottom w:val="single" w:color="auto" w:sz="4" w:space="0"/>
              <w:right w:val="single" w:color="auto" w:sz="4" w:space="0"/>
            </w:tcBorders>
            <w:noWrap/>
            <w:vAlign w:val="center"/>
          </w:tcPr>
          <w:p w14:paraId="4CB9913F">
            <w:pPr>
              <w:spacing w:line="400" w:lineRule="exact"/>
              <w:jc w:val="center"/>
              <w:rPr>
                <w:rFonts w:hAnsi="宋体"/>
                <w:color w:val="auto"/>
                <w:sz w:val="22"/>
                <w:szCs w:val="21"/>
                <w:highlight w:val="none"/>
              </w:rPr>
            </w:pPr>
            <w:r>
              <w:rPr>
                <w:rFonts w:hAnsi="宋体"/>
                <w:color w:val="auto"/>
                <w:sz w:val="22"/>
                <w:szCs w:val="21"/>
                <w:highlight w:val="none"/>
              </w:rPr>
              <w:t> </w:t>
            </w:r>
          </w:p>
        </w:tc>
        <w:tc>
          <w:tcPr>
            <w:tcW w:w="1217" w:type="dxa"/>
            <w:tcBorders>
              <w:top w:val="single" w:color="auto" w:sz="4" w:space="0"/>
              <w:left w:val="single" w:color="auto" w:sz="4" w:space="0"/>
              <w:bottom w:val="single" w:color="auto" w:sz="4" w:space="0"/>
              <w:right w:val="single" w:color="auto" w:sz="4" w:space="0"/>
            </w:tcBorders>
            <w:noWrap/>
            <w:vAlign w:val="center"/>
          </w:tcPr>
          <w:p w14:paraId="373C83D6">
            <w:pPr>
              <w:spacing w:line="400" w:lineRule="exact"/>
              <w:jc w:val="center"/>
              <w:rPr>
                <w:rFonts w:hAnsi="宋体"/>
                <w:color w:val="auto"/>
                <w:sz w:val="22"/>
                <w:szCs w:val="21"/>
                <w:highlight w:val="none"/>
              </w:rPr>
            </w:pPr>
            <w:r>
              <w:rPr>
                <w:rFonts w:hAnsi="宋体"/>
                <w:color w:val="auto"/>
                <w:sz w:val="22"/>
                <w:szCs w:val="21"/>
                <w:highlight w:val="none"/>
              </w:rPr>
              <w:t> </w:t>
            </w:r>
          </w:p>
        </w:tc>
        <w:tc>
          <w:tcPr>
            <w:tcW w:w="1110" w:type="dxa"/>
            <w:tcBorders>
              <w:top w:val="single" w:color="auto" w:sz="4" w:space="0"/>
              <w:left w:val="single" w:color="auto" w:sz="4" w:space="0"/>
              <w:bottom w:val="single" w:color="auto" w:sz="4" w:space="0"/>
              <w:right w:val="single" w:color="auto" w:sz="4" w:space="0"/>
            </w:tcBorders>
            <w:noWrap/>
            <w:vAlign w:val="center"/>
          </w:tcPr>
          <w:p w14:paraId="59AED7E5">
            <w:pPr>
              <w:spacing w:line="400" w:lineRule="exact"/>
              <w:jc w:val="center"/>
              <w:rPr>
                <w:rFonts w:hAnsi="宋体"/>
                <w:color w:val="auto"/>
                <w:sz w:val="22"/>
                <w:szCs w:val="21"/>
                <w:highlight w:val="none"/>
              </w:rPr>
            </w:pPr>
            <w:r>
              <w:rPr>
                <w:rFonts w:hAnsi="宋体"/>
                <w:color w:val="auto"/>
                <w:sz w:val="22"/>
                <w:szCs w:val="21"/>
                <w:highlight w:val="none"/>
              </w:rPr>
              <w:t> </w:t>
            </w:r>
          </w:p>
        </w:tc>
      </w:tr>
      <w:tr w14:paraId="57727C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719" w:type="dxa"/>
            <w:tcBorders>
              <w:top w:val="single" w:color="auto" w:sz="4" w:space="0"/>
              <w:left w:val="single" w:color="auto" w:sz="4" w:space="0"/>
              <w:bottom w:val="single" w:color="auto" w:sz="4" w:space="0"/>
              <w:right w:val="single" w:color="auto" w:sz="4" w:space="0"/>
            </w:tcBorders>
            <w:noWrap/>
            <w:vAlign w:val="center"/>
          </w:tcPr>
          <w:p w14:paraId="345CFB00">
            <w:pPr>
              <w:spacing w:line="400" w:lineRule="exact"/>
              <w:jc w:val="center"/>
              <w:rPr>
                <w:rFonts w:hAnsi="宋体"/>
                <w:color w:val="auto"/>
                <w:sz w:val="22"/>
                <w:szCs w:val="21"/>
                <w:highlight w:val="none"/>
              </w:rPr>
            </w:pPr>
            <w:r>
              <w:rPr>
                <w:rFonts w:hAnsi="宋体"/>
                <w:color w:val="auto"/>
                <w:sz w:val="22"/>
                <w:szCs w:val="21"/>
                <w:highlight w:val="none"/>
              </w:rPr>
              <w:t> </w:t>
            </w:r>
          </w:p>
        </w:tc>
        <w:tc>
          <w:tcPr>
            <w:tcW w:w="960" w:type="dxa"/>
            <w:tcBorders>
              <w:top w:val="single" w:color="auto" w:sz="4" w:space="0"/>
              <w:left w:val="single" w:color="auto" w:sz="4" w:space="0"/>
              <w:bottom w:val="single" w:color="auto" w:sz="4" w:space="0"/>
              <w:right w:val="single" w:color="auto" w:sz="4" w:space="0"/>
            </w:tcBorders>
            <w:noWrap/>
            <w:vAlign w:val="center"/>
          </w:tcPr>
          <w:p w14:paraId="68C0A8A9">
            <w:pPr>
              <w:spacing w:line="400" w:lineRule="exact"/>
              <w:jc w:val="center"/>
              <w:rPr>
                <w:rFonts w:hAnsi="宋体"/>
                <w:color w:val="auto"/>
                <w:sz w:val="22"/>
                <w:szCs w:val="21"/>
                <w:highlight w:val="none"/>
              </w:rPr>
            </w:pPr>
            <w:r>
              <w:rPr>
                <w:rFonts w:hAnsi="宋体"/>
                <w:color w:val="auto"/>
                <w:sz w:val="22"/>
                <w:szCs w:val="21"/>
                <w:highlight w:val="none"/>
              </w:rPr>
              <w:t> </w:t>
            </w:r>
          </w:p>
        </w:tc>
        <w:tc>
          <w:tcPr>
            <w:tcW w:w="720" w:type="dxa"/>
            <w:tcBorders>
              <w:top w:val="single" w:color="auto" w:sz="4" w:space="0"/>
              <w:left w:val="single" w:color="auto" w:sz="4" w:space="0"/>
              <w:bottom w:val="single" w:color="auto" w:sz="4" w:space="0"/>
              <w:right w:val="single" w:color="auto" w:sz="4" w:space="0"/>
            </w:tcBorders>
            <w:noWrap/>
            <w:vAlign w:val="center"/>
          </w:tcPr>
          <w:p w14:paraId="226A5BE6">
            <w:pPr>
              <w:spacing w:line="400" w:lineRule="exact"/>
              <w:jc w:val="center"/>
              <w:rPr>
                <w:rFonts w:hAnsi="宋体"/>
                <w:color w:val="auto"/>
                <w:sz w:val="22"/>
                <w:szCs w:val="21"/>
                <w:highlight w:val="none"/>
              </w:rPr>
            </w:pPr>
            <w:r>
              <w:rPr>
                <w:rFonts w:hAnsi="宋体"/>
                <w:color w:val="auto"/>
                <w:sz w:val="22"/>
                <w:szCs w:val="21"/>
                <w:highlight w:val="none"/>
              </w:rPr>
              <w:t> </w:t>
            </w:r>
          </w:p>
        </w:tc>
        <w:tc>
          <w:tcPr>
            <w:tcW w:w="825" w:type="dxa"/>
            <w:tcBorders>
              <w:top w:val="single" w:color="auto" w:sz="4" w:space="0"/>
              <w:left w:val="single" w:color="auto" w:sz="4" w:space="0"/>
              <w:bottom w:val="single" w:color="auto" w:sz="4" w:space="0"/>
              <w:right w:val="single" w:color="auto" w:sz="4" w:space="0"/>
            </w:tcBorders>
            <w:noWrap/>
            <w:vAlign w:val="center"/>
          </w:tcPr>
          <w:p w14:paraId="2A5A2BBC">
            <w:pPr>
              <w:spacing w:line="400" w:lineRule="exact"/>
              <w:jc w:val="center"/>
              <w:rPr>
                <w:rFonts w:hAnsi="宋体"/>
                <w:color w:val="auto"/>
                <w:sz w:val="22"/>
                <w:szCs w:val="21"/>
                <w:highlight w:val="none"/>
              </w:rPr>
            </w:pPr>
            <w:r>
              <w:rPr>
                <w:rFonts w:hAnsi="宋体"/>
                <w:color w:val="auto"/>
                <w:sz w:val="22"/>
                <w:szCs w:val="21"/>
                <w:highlight w:val="none"/>
              </w:rPr>
              <w:t> </w:t>
            </w:r>
          </w:p>
        </w:tc>
        <w:tc>
          <w:tcPr>
            <w:tcW w:w="1800" w:type="dxa"/>
            <w:tcBorders>
              <w:top w:val="single" w:color="auto" w:sz="4" w:space="0"/>
              <w:left w:val="single" w:color="auto" w:sz="4" w:space="0"/>
              <w:bottom w:val="single" w:color="auto" w:sz="4" w:space="0"/>
              <w:right w:val="single" w:color="auto" w:sz="4" w:space="0"/>
            </w:tcBorders>
            <w:noWrap/>
            <w:vAlign w:val="center"/>
          </w:tcPr>
          <w:p w14:paraId="35F5E330">
            <w:pPr>
              <w:spacing w:line="400" w:lineRule="exact"/>
              <w:jc w:val="center"/>
              <w:rPr>
                <w:rFonts w:hAnsi="宋体"/>
                <w:color w:val="auto"/>
                <w:sz w:val="22"/>
                <w:szCs w:val="21"/>
                <w:highlight w:val="none"/>
              </w:rPr>
            </w:pPr>
            <w:r>
              <w:rPr>
                <w:rFonts w:hAnsi="宋体"/>
                <w:color w:val="auto"/>
                <w:sz w:val="22"/>
                <w:szCs w:val="21"/>
                <w:highlight w:val="none"/>
              </w:rPr>
              <w:t> </w:t>
            </w:r>
          </w:p>
        </w:tc>
        <w:tc>
          <w:tcPr>
            <w:tcW w:w="1335" w:type="dxa"/>
            <w:tcBorders>
              <w:top w:val="single" w:color="auto" w:sz="4" w:space="0"/>
              <w:left w:val="single" w:color="auto" w:sz="4" w:space="0"/>
              <w:bottom w:val="single" w:color="auto" w:sz="4" w:space="0"/>
              <w:right w:val="single" w:color="auto" w:sz="4" w:space="0"/>
            </w:tcBorders>
            <w:noWrap/>
            <w:vAlign w:val="center"/>
          </w:tcPr>
          <w:p w14:paraId="29EE6B1C">
            <w:pPr>
              <w:spacing w:line="400" w:lineRule="exact"/>
              <w:jc w:val="center"/>
              <w:rPr>
                <w:rFonts w:hAnsi="宋体"/>
                <w:color w:val="auto"/>
                <w:sz w:val="22"/>
                <w:szCs w:val="21"/>
                <w:highlight w:val="none"/>
              </w:rPr>
            </w:pPr>
            <w:r>
              <w:rPr>
                <w:rFonts w:hAnsi="宋体"/>
                <w:color w:val="auto"/>
                <w:sz w:val="22"/>
                <w:szCs w:val="21"/>
                <w:highlight w:val="none"/>
              </w:rPr>
              <w:t> </w:t>
            </w:r>
          </w:p>
        </w:tc>
        <w:tc>
          <w:tcPr>
            <w:tcW w:w="1217" w:type="dxa"/>
            <w:tcBorders>
              <w:top w:val="single" w:color="auto" w:sz="4" w:space="0"/>
              <w:left w:val="single" w:color="auto" w:sz="4" w:space="0"/>
              <w:bottom w:val="single" w:color="auto" w:sz="4" w:space="0"/>
              <w:right w:val="single" w:color="auto" w:sz="4" w:space="0"/>
            </w:tcBorders>
            <w:noWrap/>
            <w:vAlign w:val="center"/>
          </w:tcPr>
          <w:p w14:paraId="1CDB1B64">
            <w:pPr>
              <w:spacing w:line="400" w:lineRule="exact"/>
              <w:jc w:val="center"/>
              <w:rPr>
                <w:rFonts w:hAnsi="宋体"/>
                <w:color w:val="auto"/>
                <w:sz w:val="22"/>
                <w:szCs w:val="21"/>
                <w:highlight w:val="none"/>
              </w:rPr>
            </w:pPr>
            <w:r>
              <w:rPr>
                <w:rFonts w:hAnsi="宋体"/>
                <w:color w:val="auto"/>
                <w:sz w:val="22"/>
                <w:szCs w:val="21"/>
                <w:highlight w:val="none"/>
              </w:rPr>
              <w:t> </w:t>
            </w:r>
          </w:p>
        </w:tc>
        <w:tc>
          <w:tcPr>
            <w:tcW w:w="1110" w:type="dxa"/>
            <w:tcBorders>
              <w:top w:val="single" w:color="auto" w:sz="4" w:space="0"/>
              <w:left w:val="single" w:color="auto" w:sz="4" w:space="0"/>
              <w:bottom w:val="single" w:color="auto" w:sz="4" w:space="0"/>
              <w:right w:val="single" w:color="auto" w:sz="4" w:space="0"/>
            </w:tcBorders>
            <w:noWrap/>
            <w:vAlign w:val="center"/>
          </w:tcPr>
          <w:p w14:paraId="5FD064E3">
            <w:pPr>
              <w:spacing w:line="400" w:lineRule="exact"/>
              <w:jc w:val="center"/>
              <w:rPr>
                <w:rFonts w:hAnsi="宋体"/>
                <w:color w:val="auto"/>
                <w:sz w:val="22"/>
                <w:szCs w:val="21"/>
                <w:highlight w:val="none"/>
              </w:rPr>
            </w:pPr>
            <w:r>
              <w:rPr>
                <w:rFonts w:hAnsi="宋体"/>
                <w:color w:val="auto"/>
                <w:sz w:val="22"/>
                <w:szCs w:val="21"/>
                <w:highlight w:val="none"/>
              </w:rPr>
              <w:t> </w:t>
            </w:r>
          </w:p>
        </w:tc>
      </w:tr>
    </w:tbl>
    <w:p w14:paraId="3D222C7A">
      <w:pPr>
        <w:pStyle w:val="3"/>
        <w:tabs>
          <w:tab w:val="left" w:pos="720"/>
        </w:tabs>
        <w:spacing w:line="400" w:lineRule="exact"/>
        <w:ind w:firstLine="442" w:firstLineChars="200"/>
        <w:jc w:val="left"/>
        <w:rPr>
          <w:rFonts w:ascii="黑体" w:hAnsi="宋体"/>
          <w:color w:val="auto"/>
          <w:sz w:val="22"/>
          <w:szCs w:val="22"/>
          <w:highlight w:val="none"/>
        </w:rPr>
      </w:pPr>
      <w:bookmarkStart w:id="2" w:name="_Toc217446108"/>
      <w:r>
        <w:rPr>
          <w:rFonts w:hint="eastAsia" w:ascii="黑体" w:hAnsi="宋体"/>
          <w:color w:val="auto"/>
          <w:sz w:val="22"/>
          <w:szCs w:val="22"/>
          <w:highlight w:val="none"/>
        </w:rPr>
        <w:t>二、合同总价</w:t>
      </w:r>
      <w:bookmarkEnd w:id="2"/>
    </w:p>
    <w:p w14:paraId="6A84F7E3">
      <w:pPr>
        <w:pStyle w:val="14"/>
        <w:ind w:firstLine="440"/>
        <w:rPr>
          <w:rFonts w:hAnsi="宋体"/>
          <w:color w:val="auto"/>
          <w:sz w:val="22"/>
          <w:szCs w:val="21"/>
          <w:highlight w:val="none"/>
        </w:rPr>
      </w:pPr>
      <w:r>
        <w:rPr>
          <w:rFonts w:hint="eastAsia" w:ascii="Times New Roman" w:hAnsi="宋体" w:eastAsia="宋体" w:cs="宋体"/>
          <w:color w:val="auto"/>
          <w:sz w:val="22"/>
          <w:szCs w:val="21"/>
          <w:highlight w:val="none"/>
          <w:lang w:val="en-US" w:eastAsia="zh-CN"/>
        </w:rPr>
        <w:t>具体以实际供应数量为准，进行据实结算。结算总金额不超过采购预算330000.00元。</w:t>
      </w:r>
    </w:p>
    <w:p w14:paraId="5CA6215C">
      <w:pPr>
        <w:pStyle w:val="3"/>
        <w:tabs>
          <w:tab w:val="left" w:pos="720"/>
        </w:tabs>
        <w:spacing w:line="400" w:lineRule="exact"/>
        <w:ind w:firstLine="442" w:firstLineChars="200"/>
        <w:jc w:val="left"/>
        <w:rPr>
          <w:rFonts w:ascii="黑体" w:hAnsi="宋体"/>
          <w:color w:val="auto"/>
          <w:sz w:val="22"/>
          <w:szCs w:val="22"/>
          <w:highlight w:val="none"/>
        </w:rPr>
      </w:pPr>
      <w:bookmarkStart w:id="3" w:name="_Toc217446109"/>
      <w:r>
        <w:rPr>
          <w:rFonts w:hint="eastAsia" w:ascii="黑体" w:hAnsi="宋体"/>
          <w:color w:val="auto"/>
          <w:sz w:val="22"/>
          <w:szCs w:val="22"/>
          <w:highlight w:val="none"/>
        </w:rPr>
        <w:t>三、质量要求</w:t>
      </w:r>
      <w:bookmarkEnd w:id="3"/>
    </w:p>
    <w:p w14:paraId="6DA64C75">
      <w:pPr>
        <w:pStyle w:val="14"/>
        <w:ind w:firstLine="440"/>
        <w:rPr>
          <w:rFonts w:hAnsi="宋体"/>
          <w:color w:val="auto"/>
          <w:sz w:val="22"/>
          <w:szCs w:val="21"/>
          <w:highlight w:val="none"/>
        </w:rPr>
      </w:pPr>
      <w:r>
        <w:rPr>
          <w:rFonts w:hAnsi="宋体"/>
          <w:color w:val="auto"/>
          <w:sz w:val="22"/>
          <w:szCs w:val="21"/>
          <w:highlight w:val="none"/>
        </w:rPr>
        <w:t>1</w:t>
      </w:r>
      <w:r>
        <w:rPr>
          <w:rFonts w:hint="eastAsia" w:hAnsi="宋体"/>
          <w:color w:val="auto"/>
          <w:sz w:val="22"/>
          <w:szCs w:val="21"/>
          <w:highlight w:val="none"/>
        </w:rPr>
        <w:t>、乙方须提供全新的货物（含零部件、配件等），表面无划伤、无碰撞痕迹，且权属清楚，不得侵害他人的知识产权。</w:t>
      </w:r>
    </w:p>
    <w:p w14:paraId="6FD4AB83">
      <w:pPr>
        <w:pStyle w:val="14"/>
        <w:ind w:firstLine="440"/>
        <w:rPr>
          <w:rFonts w:hAnsi="宋体"/>
          <w:color w:val="auto"/>
          <w:sz w:val="22"/>
          <w:szCs w:val="21"/>
          <w:highlight w:val="none"/>
        </w:rPr>
      </w:pPr>
      <w:r>
        <w:rPr>
          <w:rFonts w:hint="eastAsia" w:hAnsi="宋体"/>
          <w:color w:val="auto"/>
          <w:sz w:val="22"/>
          <w:szCs w:val="21"/>
          <w:highlight w:val="none"/>
        </w:rPr>
        <w:t>货物必须符合或优于国家（行业）标准，以及本项目采购文件的质量要求和技术指标与出厂标准。</w:t>
      </w:r>
    </w:p>
    <w:p w14:paraId="58D7AAA4">
      <w:pPr>
        <w:pStyle w:val="14"/>
        <w:ind w:firstLine="440"/>
        <w:rPr>
          <w:rFonts w:hAnsi="宋体"/>
          <w:color w:val="auto"/>
          <w:sz w:val="22"/>
          <w:szCs w:val="21"/>
          <w:highlight w:val="none"/>
        </w:rPr>
      </w:pPr>
      <w:r>
        <w:rPr>
          <w:rFonts w:hint="eastAsia" w:hAnsi="宋体"/>
          <w:color w:val="auto"/>
          <w:sz w:val="22"/>
          <w:szCs w:val="21"/>
          <w:highlight w:val="none"/>
        </w:rPr>
        <w:t>3、乙方须在本合同签订之日起日内送交货物成品样品给甲方确认，在甲方出具样品确认书并封存成品样品外观尺寸后，乙方才能按样生产，并以此样品作为验收样品；每台货物上均应有产品质量检验合格标志。</w:t>
      </w:r>
    </w:p>
    <w:p w14:paraId="493B4662">
      <w:pPr>
        <w:pStyle w:val="14"/>
        <w:ind w:firstLine="440"/>
        <w:rPr>
          <w:rFonts w:hAnsi="宋体"/>
          <w:color w:val="auto"/>
          <w:sz w:val="22"/>
          <w:szCs w:val="21"/>
          <w:highlight w:val="none"/>
        </w:rPr>
      </w:pPr>
      <w:r>
        <w:rPr>
          <w:rFonts w:hAnsi="宋体"/>
          <w:color w:val="auto"/>
          <w:sz w:val="22"/>
          <w:szCs w:val="21"/>
          <w:highlight w:val="none"/>
        </w:rPr>
        <w:t>4</w:t>
      </w:r>
      <w:r>
        <w:rPr>
          <w:rFonts w:hint="eastAsia" w:hAnsi="宋体"/>
          <w:color w:val="auto"/>
          <w:sz w:val="22"/>
          <w:szCs w:val="21"/>
          <w:highlight w:val="none"/>
        </w:rPr>
        <w:t>、货物制造质量出现问题，乙方应负责三包（包修、包换、包退），费用由乙方负担，甲方有权到乙方生产场地检查货物质量和生产进度。</w:t>
      </w:r>
    </w:p>
    <w:p w14:paraId="51D10A44">
      <w:pPr>
        <w:pStyle w:val="14"/>
        <w:ind w:firstLine="440"/>
        <w:rPr>
          <w:rFonts w:hAnsi="宋体"/>
          <w:color w:val="auto"/>
          <w:sz w:val="22"/>
          <w:szCs w:val="21"/>
          <w:highlight w:val="none"/>
        </w:rPr>
      </w:pPr>
      <w:r>
        <w:rPr>
          <w:rFonts w:hAnsi="宋体"/>
          <w:color w:val="auto"/>
          <w:sz w:val="22"/>
          <w:szCs w:val="21"/>
          <w:highlight w:val="none"/>
        </w:rPr>
        <w:t>5</w:t>
      </w:r>
      <w:r>
        <w:rPr>
          <w:rFonts w:hint="eastAsia" w:hAnsi="宋体"/>
          <w:color w:val="auto"/>
          <w:sz w:val="22"/>
          <w:szCs w:val="21"/>
          <w:highlight w:val="none"/>
        </w:rPr>
        <w:t>、货到现场后由于甲方保管不当造成的质量问题，乙方亦应负责修理，但费用由甲方负担。</w:t>
      </w:r>
    </w:p>
    <w:p w14:paraId="6E7B3FD1">
      <w:pPr>
        <w:pStyle w:val="3"/>
        <w:tabs>
          <w:tab w:val="left" w:pos="720"/>
        </w:tabs>
        <w:spacing w:line="400" w:lineRule="exact"/>
        <w:ind w:firstLine="442" w:firstLineChars="200"/>
        <w:jc w:val="left"/>
        <w:rPr>
          <w:rFonts w:ascii="黑体" w:hAnsi="宋体"/>
          <w:color w:val="auto"/>
          <w:sz w:val="22"/>
          <w:szCs w:val="22"/>
          <w:highlight w:val="none"/>
        </w:rPr>
      </w:pPr>
      <w:bookmarkStart w:id="4" w:name="_Toc217446110"/>
      <w:r>
        <w:rPr>
          <w:rFonts w:hint="eastAsia" w:ascii="黑体" w:hAnsi="宋体"/>
          <w:color w:val="auto"/>
          <w:sz w:val="22"/>
          <w:szCs w:val="22"/>
          <w:highlight w:val="none"/>
        </w:rPr>
        <w:t>四、交货及验收</w:t>
      </w:r>
      <w:bookmarkEnd w:id="4"/>
    </w:p>
    <w:p w14:paraId="290140BA">
      <w:pPr>
        <w:pStyle w:val="14"/>
        <w:ind w:firstLine="440"/>
        <w:rPr>
          <w:rFonts w:hint="eastAsia" w:hAnsi="宋体"/>
          <w:color w:val="auto"/>
          <w:sz w:val="22"/>
          <w:szCs w:val="21"/>
          <w:highlight w:val="none"/>
        </w:rPr>
      </w:pPr>
      <w:r>
        <w:rPr>
          <w:rFonts w:hint="eastAsia" w:hAnsi="宋体"/>
          <w:color w:val="auto"/>
          <w:sz w:val="22"/>
          <w:szCs w:val="21"/>
          <w:highlight w:val="none"/>
        </w:rPr>
        <w:t>验收内容：</w:t>
      </w:r>
    </w:p>
    <w:p w14:paraId="48C69B65">
      <w:pPr>
        <w:pStyle w:val="14"/>
        <w:ind w:firstLine="440"/>
        <w:rPr>
          <w:rFonts w:hint="eastAsia" w:hAnsi="宋体"/>
          <w:color w:val="auto"/>
          <w:sz w:val="22"/>
          <w:szCs w:val="21"/>
          <w:highlight w:val="none"/>
        </w:rPr>
      </w:pPr>
      <w:r>
        <w:rPr>
          <w:rFonts w:hint="eastAsia" w:hAnsi="宋体"/>
          <w:color w:val="auto"/>
          <w:sz w:val="22"/>
          <w:szCs w:val="21"/>
          <w:highlight w:val="none"/>
        </w:rPr>
        <w:t>（1）成交人每次供货须向使用单位提供“供货清单”；经验收合格后，由使用单位在“供货清单”上签字。</w:t>
      </w:r>
    </w:p>
    <w:p w14:paraId="0E97EEF4">
      <w:pPr>
        <w:pStyle w:val="14"/>
        <w:ind w:firstLine="440"/>
        <w:rPr>
          <w:rFonts w:hint="eastAsia" w:hAnsi="宋体"/>
          <w:color w:val="auto"/>
          <w:sz w:val="22"/>
          <w:szCs w:val="21"/>
          <w:highlight w:val="none"/>
        </w:rPr>
      </w:pPr>
      <w:r>
        <w:rPr>
          <w:rFonts w:hint="eastAsia" w:hAnsi="宋体"/>
          <w:color w:val="auto"/>
          <w:sz w:val="22"/>
          <w:szCs w:val="21"/>
          <w:highlight w:val="none"/>
        </w:rPr>
        <w:t>（2）若供货验收时中出现质量问题或产品不新鲜采购人有权拒签供货单，拒收货物，且在采购人规定的时间重新供货，对采购人造成损失由成交人承担。</w:t>
      </w:r>
    </w:p>
    <w:p w14:paraId="00FB8C5B">
      <w:pPr>
        <w:pStyle w:val="14"/>
        <w:ind w:firstLine="440"/>
        <w:rPr>
          <w:rFonts w:hint="eastAsia" w:hAnsi="宋体"/>
          <w:color w:val="auto"/>
          <w:sz w:val="22"/>
          <w:szCs w:val="21"/>
          <w:highlight w:val="none"/>
        </w:rPr>
      </w:pPr>
      <w:r>
        <w:rPr>
          <w:rFonts w:hint="eastAsia" w:hAnsi="宋体"/>
          <w:color w:val="auto"/>
          <w:sz w:val="22"/>
          <w:szCs w:val="21"/>
          <w:highlight w:val="none"/>
        </w:rPr>
        <w:t xml:space="preserve">（3）按照质量标准进行验收、根据产品品类情况供应商提供同批次的检验报告、检疫证明以及合格证应随货同期到达； </w:t>
      </w:r>
    </w:p>
    <w:p w14:paraId="2459C1A2">
      <w:pPr>
        <w:pStyle w:val="14"/>
        <w:ind w:firstLine="440"/>
        <w:rPr>
          <w:rFonts w:hint="eastAsia" w:hAnsi="宋体"/>
          <w:color w:val="auto"/>
          <w:sz w:val="22"/>
          <w:szCs w:val="21"/>
          <w:highlight w:val="none"/>
        </w:rPr>
      </w:pPr>
      <w:r>
        <w:rPr>
          <w:rFonts w:hint="eastAsia" w:hAnsi="宋体"/>
          <w:color w:val="auto"/>
          <w:sz w:val="22"/>
          <w:szCs w:val="21"/>
          <w:highlight w:val="none"/>
        </w:rPr>
        <w:t>验收依据：</w:t>
      </w:r>
    </w:p>
    <w:p w14:paraId="5EC0EC23">
      <w:pPr>
        <w:pStyle w:val="14"/>
        <w:ind w:firstLine="440"/>
        <w:rPr>
          <w:rFonts w:hint="eastAsia" w:hAnsi="宋体"/>
          <w:color w:val="auto"/>
          <w:sz w:val="22"/>
          <w:szCs w:val="21"/>
          <w:highlight w:val="none"/>
        </w:rPr>
      </w:pPr>
      <w:r>
        <w:rPr>
          <w:rFonts w:hint="eastAsia" w:hAnsi="宋体"/>
          <w:color w:val="auto"/>
          <w:sz w:val="22"/>
          <w:szCs w:val="21"/>
          <w:highlight w:val="none"/>
        </w:rPr>
        <w:t xml:space="preserve">（1）合同文本及合同补充文件（条款）。 </w:t>
      </w:r>
    </w:p>
    <w:p w14:paraId="0273D8D4">
      <w:pPr>
        <w:pStyle w:val="14"/>
        <w:ind w:firstLine="440"/>
        <w:rPr>
          <w:rFonts w:hint="eastAsia" w:hAnsi="宋体"/>
          <w:color w:val="auto"/>
          <w:sz w:val="22"/>
          <w:szCs w:val="21"/>
          <w:highlight w:val="none"/>
        </w:rPr>
      </w:pPr>
      <w:r>
        <w:rPr>
          <w:rFonts w:hint="eastAsia" w:hAnsi="宋体"/>
          <w:color w:val="auto"/>
          <w:sz w:val="22"/>
          <w:szCs w:val="21"/>
          <w:highlight w:val="none"/>
        </w:rPr>
        <w:t>（2）谈判文件。</w:t>
      </w:r>
    </w:p>
    <w:p w14:paraId="456E42C5">
      <w:pPr>
        <w:pStyle w:val="14"/>
        <w:ind w:firstLine="440"/>
        <w:rPr>
          <w:rFonts w:hAnsi="宋体"/>
          <w:color w:val="auto"/>
          <w:sz w:val="22"/>
          <w:szCs w:val="21"/>
          <w:highlight w:val="none"/>
        </w:rPr>
      </w:pPr>
      <w:r>
        <w:rPr>
          <w:rFonts w:hint="eastAsia" w:hAnsi="宋体"/>
          <w:color w:val="auto"/>
          <w:sz w:val="22"/>
          <w:szCs w:val="21"/>
          <w:highlight w:val="none"/>
        </w:rPr>
        <w:t>（3）成交人的谈判响应文件。</w:t>
      </w:r>
      <w:r>
        <w:rPr>
          <w:rFonts w:hAnsi="宋体"/>
          <w:color w:val="auto"/>
          <w:sz w:val="22"/>
          <w:szCs w:val="21"/>
          <w:highlight w:val="none"/>
        </w:rPr>
        <w:t> </w:t>
      </w:r>
    </w:p>
    <w:p w14:paraId="2003FD61">
      <w:pPr>
        <w:pStyle w:val="3"/>
        <w:tabs>
          <w:tab w:val="left" w:pos="720"/>
        </w:tabs>
        <w:spacing w:line="400" w:lineRule="exact"/>
        <w:ind w:firstLine="442" w:firstLineChars="200"/>
        <w:jc w:val="left"/>
        <w:rPr>
          <w:rFonts w:ascii="黑体" w:hAnsi="宋体"/>
          <w:color w:val="auto"/>
          <w:sz w:val="22"/>
          <w:szCs w:val="22"/>
          <w:highlight w:val="none"/>
        </w:rPr>
      </w:pPr>
      <w:bookmarkStart w:id="5" w:name="_Toc217446111"/>
      <w:r>
        <w:rPr>
          <w:rFonts w:hint="eastAsia" w:ascii="黑体" w:hAnsi="宋体"/>
          <w:color w:val="auto"/>
          <w:sz w:val="22"/>
          <w:szCs w:val="22"/>
          <w:highlight w:val="none"/>
        </w:rPr>
        <w:t>五、付款方式</w:t>
      </w:r>
      <w:bookmarkEnd w:id="5"/>
    </w:p>
    <w:p w14:paraId="3EC9B6F4">
      <w:pPr>
        <w:pStyle w:val="14"/>
        <w:ind w:firstLine="440"/>
        <w:rPr>
          <w:rFonts w:hint="eastAsia" w:hAnsi="宋体"/>
          <w:color w:val="auto"/>
          <w:sz w:val="22"/>
          <w:szCs w:val="21"/>
          <w:highlight w:val="none"/>
        </w:rPr>
      </w:pPr>
      <w:r>
        <w:rPr>
          <w:rFonts w:hint="eastAsia" w:hAnsi="宋体"/>
          <w:color w:val="auto"/>
          <w:sz w:val="22"/>
          <w:szCs w:val="21"/>
          <w:highlight w:val="none"/>
          <w:lang w:val="en-US" w:eastAsia="zh-CN"/>
        </w:rPr>
        <w:t>2.1</w:t>
      </w:r>
      <w:r>
        <w:rPr>
          <w:rFonts w:hint="eastAsia" w:hAnsi="宋体"/>
          <w:color w:val="auto"/>
          <w:sz w:val="22"/>
          <w:szCs w:val="21"/>
          <w:highlight w:val="none"/>
        </w:rPr>
        <w:t>以每月实际配送数量为准，按月付款。结算价=实际配送数量×市场基准价格×（1-成交下浮率），成交人按照采购人要求将货物送到采购人指定地点，提供所供货物清单（含货物种类、数量、价格），采购人对所供货物的价格、数量、质量进行核实，经核实无误后在供货单上签字确认。本项目在不超过采购预算的基础上据实结算。</w:t>
      </w:r>
    </w:p>
    <w:p w14:paraId="407713C7">
      <w:pPr>
        <w:pStyle w:val="14"/>
        <w:ind w:firstLine="440"/>
        <w:rPr>
          <w:rFonts w:hAnsi="宋体"/>
          <w:color w:val="auto"/>
          <w:sz w:val="22"/>
          <w:szCs w:val="21"/>
          <w:highlight w:val="none"/>
        </w:rPr>
      </w:pPr>
      <w:r>
        <w:rPr>
          <w:rFonts w:hint="eastAsia" w:hAnsi="宋体"/>
          <w:color w:val="auto"/>
          <w:sz w:val="22"/>
          <w:szCs w:val="21"/>
          <w:highlight w:val="none"/>
        </w:rPr>
        <w:t>2.2对于采购人支付的相关费用供应商应当出具合法票据。</w:t>
      </w:r>
    </w:p>
    <w:p w14:paraId="03A03FC1">
      <w:pPr>
        <w:pStyle w:val="14"/>
        <w:ind w:firstLine="440"/>
        <w:rPr>
          <w:rFonts w:hAnsi="宋体"/>
          <w:color w:val="auto"/>
          <w:sz w:val="22"/>
          <w:szCs w:val="21"/>
          <w:highlight w:val="none"/>
        </w:rPr>
      </w:pPr>
    </w:p>
    <w:p w14:paraId="369D8D88">
      <w:pPr>
        <w:pStyle w:val="3"/>
        <w:tabs>
          <w:tab w:val="left" w:pos="720"/>
        </w:tabs>
        <w:spacing w:line="400" w:lineRule="exact"/>
        <w:ind w:firstLine="442" w:firstLineChars="200"/>
        <w:jc w:val="left"/>
        <w:rPr>
          <w:rFonts w:ascii="黑体" w:hAnsi="宋体"/>
          <w:color w:val="auto"/>
          <w:sz w:val="22"/>
          <w:szCs w:val="22"/>
          <w:highlight w:val="none"/>
        </w:rPr>
      </w:pPr>
      <w:bookmarkStart w:id="6" w:name="_Toc217446112"/>
      <w:r>
        <w:rPr>
          <w:rFonts w:hint="eastAsia" w:ascii="黑体" w:hAnsi="宋体"/>
          <w:color w:val="auto"/>
          <w:sz w:val="22"/>
          <w:szCs w:val="22"/>
          <w:highlight w:val="none"/>
        </w:rPr>
        <w:t>六、售后服务</w:t>
      </w:r>
      <w:bookmarkEnd w:id="6"/>
    </w:p>
    <w:p w14:paraId="720A48CB">
      <w:pPr>
        <w:pStyle w:val="14"/>
        <w:ind w:firstLine="440"/>
        <w:rPr>
          <w:rFonts w:hAnsi="宋体"/>
          <w:color w:val="auto"/>
          <w:sz w:val="22"/>
          <w:szCs w:val="21"/>
          <w:highlight w:val="none"/>
        </w:rPr>
      </w:pPr>
      <w:r>
        <w:rPr>
          <w:rFonts w:hAnsi="宋体"/>
          <w:color w:val="auto"/>
          <w:sz w:val="22"/>
          <w:szCs w:val="21"/>
          <w:highlight w:val="none"/>
        </w:rPr>
        <w:t>1</w:t>
      </w:r>
      <w:r>
        <w:rPr>
          <w:rFonts w:hint="eastAsia" w:hAnsi="宋体"/>
          <w:color w:val="auto"/>
          <w:sz w:val="22"/>
          <w:szCs w:val="21"/>
          <w:highlight w:val="none"/>
        </w:rPr>
        <w:t>、出现质量问题，乙方在接到通知后</w:t>
      </w:r>
      <w:r>
        <w:rPr>
          <w:rFonts w:hint="eastAsia" w:hAnsi="宋体"/>
          <w:color w:val="auto"/>
          <w:sz w:val="22"/>
          <w:szCs w:val="21"/>
          <w:highlight w:val="none"/>
          <w:u w:val="single"/>
          <w:lang w:val="en-US" w:eastAsia="zh-CN"/>
        </w:rPr>
        <w:t xml:space="preserve">  2  </w:t>
      </w:r>
      <w:r>
        <w:rPr>
          <w:rFonts w:hint="eastAsia" w:hAnsi="宋体"/>
          <w:color w:val="auto"/>
          <w:sz w:val="22"/>
          <w:szCs w:val="21"/>
          <w:highlight w:val="none"/>
        </w:rPr>
        <w:t>小时内响应到场，</w:t>
      </w:r>
      <w:r>
        <w:rPr>
          <w:rFonts w:hint="eastAsia" w:hAnsi="宋体"/>
          <w:color w:val="auto"/>
          <w:sz w:val="22"/>
          <w:szCs w:val="21"/>
          <w:highlight w:val="none"/>
          <w:u w:val="single"/>
          <w:lang w:val="en-US" w:eastAsia="zh-CN"/>
        </w:rPr>
        <w:t xml:space="preserve">   </w:t>
      </w:r>
      <w:r>
        <w:rPr>
          <w:rFonts w:hint="eastAsia" w:hAnsi="宋体"/>
          <w:color w:val="auto"/>
          <w:sz w:val="22"/>
          <w:szCs w:val="21"/>
          <w:highlight w:val="none"/>
        </w:rPr>
        <w:t>小时内完成更换，并承担</w:t>
      </w:r>
      <w:r>
        <w:rPr>
          <w:rFonts w:hint="eastAsia" w:hAnsi="宋体"/>
          <w:color w:val="auto"/>
          <w:sz w:val="22"/>
          <w:szCs w:val="21"/>
          <w:highlight w:val="none"/>
          <w:lang w:val="en-US" w:eastAsia="zh-CN"/>
        </w:rPr>
        <w:t>相应</w:t>
      </w:r>
      <w:r>
        <w:rPr>
          <w:rFonts w:hint="eastAsia" w:hAnsi="宋体"/>
          <w:color w:val="auto"/>
          <w:sz w:val="22"/>
          <w:szCs w:val="21"/>
          <w:highlight w:val="none"/>
        </w:rPr>
        <w:t>的</w:t>
      </w:r>
      <w:r>
        <w:rPr>
          <w:rFonts w:hint="eastAsia" w:hAnsi="宋体"/>
          <w:color w:val="auto"/>
          <w:sz w:val="22"/>
          <w:szCs w:val="21"/>
          <w:highlight w:val="none"/>
          <w:lang w:val="en-US" w:eastAsia="zh-CN"/>
        </w:rPr>
        <w:t>损失</w:t>
      </w:r>
      <w:r>
        <w:rPr>
          <w:rFonts w:hint="eastAsia" w:hAnsi="宋体"/>
          <w:color w:val="auto"/>
          <w:sz w:val="22"/>
          <w:szCs w:val="21"/>
          <w:highlight w:val="none"/>
        </w:rPr>
        <w:t>费用；如货物经乙方</w:t>
      </w:r>
      <w:r>
        <w:rPr>
          <w:rFonts w:hint="eastAsia" w:hAnsi="宋体"/>
          <w:color w:val="auto"/>
          <w:sz w:val="22"/>
          <w:szCs w:val="21"/>
          <w:highlight w:val="none"/>
          <w:u w:val="single"/>
          <w:lang w:val="en-US" w:eastAsia="zh-CN"/>
        </w:rPr>
        <w:t xml:space="preserve">   </w:t>
      </w:r>
      <w:r>
        <w:rPr>
          <w:rFonts w:hint="eastAsia" w:hAnsi="宋体"/>
          <w:color w:val="auto"/>
          <w:sz w:val="22"/>
          <w:szCs w:val="21"/>
          <w:highlight w:val="none"/>
        </w:rPr>
        <w:t>次</w:t>
      </w:r>
      <w:r>
        <w:rPr>
          <w:rFonts w:hint="eastAsia" w:hAnsi="宋体"/>
          <w:color w:val="auto"/>
          <w:sz w:val="22"/>
          <w:szCs w:val="21"/>
          <w:highlight w:val="none"/>
          <w:lang w:val="en-US" w:eastAsia="zh-CN"/>
        </w:rPr>
        <w:t>更换</w:t>
      </w:r>
      <w:r>
        <w:rPr>
          <w:rFonts w:hint="eastAsia" w:hAnsi="宋体"/>
          <w:color w:val="auto"/>
          <w:sz w:val="22"/>
          <w:szCs w:val="21"/>
          <w:highlight w:val="none"/>
        </w:rPr>
        <w:t>仍不能达到本合同约定的质量标准，视作乙方未能按时交货，甲方有权退货并追究乙方的违约责任。货到现场后由于甲方保管不当造成的问题，乙方亦应负责</w:t>
      </w:r>
      <w:r>
        <w:rPr>
          <w:rFonts w:hint="eastAsia" w:hAnsi="宋体"/>
          <w:color w:val="auto"/>
          <w:sz w:val="22"/>
          <w:szCs w:val="21"/>
          <w:highlight w:val="none"/>
          <w:lang w:val="en-US" w:eastAsia="zh-CN"/>
        </w:rPr>
        <w:t>更换</w:t>
      </w:r>
      <w:r>
        <w:rPr>
          <w:rFonts w:hint="eastAsia" w:hAnsi="宋体"/>
          <w:color w:val="auto"/>
          <w:sz w:val="22"/>
          <w:szCs w:val="21"/>
          <w:highlight w:val="none"/>
        </w:rPr>
        <w:t>，但费用由甲方负担。</w:t>
      </w:r>
    </w:p>
    <w:p w14:paraId="22AA177D">
      <w:pPr>
        <w:pStyle w:val="14"/>
        <w:ind w:firstLine="440"/>
        <w:rPr>
          <w:rFonts w:hAnsi="宋体"/>
          <w:color w:val="auto"/>
          <w:sz w:val="22"/>
          <w:szCs w:val="21"/>
          <w:highlight w:val="none"/>
        </w:rPr>
      </w:pPr>
      <w:r>
        <w:rPr>
          <w:rFonts w:hAnsi="宋体"/>
          <w:color w:val="auto"/>
          <w:sz w:val="22"/>
          <w:szCs w:val="21"/>
          <w:highlight w:val="none"/>
        </w:rPr>
        <w:t>2</w:t>
      </w:r>
      <w:r>
        <w:rPr>
          <w:rFonts w:hint="eastAsia" w:hAnsi="宋体"/>
          <w:color w:val="auto"/>
          <w:sz w:val="22"/>
          <w:szCs w:val="21"/>
          <w:highlight w:val="none"/>
        </w:rPr>
        <w:t>、乙方须指派专人负责与甲方联系售后服务事宜。</w:t>
      </w:r>
      <w:r>
        <w:rPr>
          <w:rFonts w:hAnsi="宋体"/>
          <w:color w:val="auto"/>
          <w:sz w:val="22"/>
          <w:szCs w:val="21"/>
          <w:highlight w:val="none"/>
        </w:rPr>
        <w:t> </w:t>
      </w:r>
    </w:p>
    <w:p w14:paraId="7B34C626">
      <w:pPr>
        <w:spacing w:line="440" w:lineRule="exact"/>
        <w:ind w:firstLine="220" w:firstLineChars="100"/>
        <w:rPr>
          <w:rFonts w:hAnsi="宋体" w:cs="宋体"/>
          <w:color w:val="auto"/>
          <w:sz w:val="22"/>
          <w:szCs w:val="21"/>
          <w:highlight w:val="none"/>
        </w:rPr>
      </w:pPr>
      <w:r>
        <w:rPr>
          <w:rFonts w:hint="eastAsia" w:hAnsi="宋体" w:cs="宋体"/>
          <w:color w:val="auto"/>
          <w:sz w:val="22"/>
          <w:szCs w:val="21"/>
          <w:highlight w:val="none"/>
        </w:rPr>
        <w:t>3、所有货物由中标商送货至甲方指定地点。</w:t>
      </w:r>
    </w:p>
    <w:p w14:paraId="34F8F2FC">
      <w:pPr>
        <w:pStyle w:val="3"/>
        <w:tabs>
          <w:tab w:val="left" w:pos="720"/>
        </w:tabs>
        <w:spacing w:line="400" w:lineRule="exact"/>
        <w:ind w:firstLine="442" w:firstLineChars="200"/>
        <w:jc w:val="left"/>
        <w:rPr>
          <w:rFonts w:ascii="黑体" w:hAnsi="宋体"/>
          <w:color w:val="auto"/>
          <w:sz w:val="22"/>
          <w:szCs w:val="22"/>
          <w:highlight w:val="none"/>
        </w:rPr>
      </w:pPr>
      <w:bookmarkStart w:id="7" w:name="_Toc217446113"/>
      <w:r>
        <w:rPr>
          <w:rFonts w:hint="eastAsia" w:ascii="黑体" w:hAnsi="宋体"/>
          <w:color w:val="auto"/>
          <w:sz w:val="22"/>
          <w:szCs w:val="22"/>
          <w:highlight w:val="none"/>
        </w:rPr>
        <w:t>七、违约责任</w:t>
      </w:r>
      <w:bookmarkEnd w:id="7"/>
    </w:p>
    <w:p w14:paraId="4287E4AD">
      <w:pPr>
        <w:pStyle w:val="14"/>
        <w:ind w:firstLine="440"/>
        <w:rPr>
          <w:rFonts w:hAnsi="宋体"/>
          <w:color w:val="auto"/>
          <w:sz w:val="22"/>
          <w:szCs w:val="21"/>
          <w:highlight w:val="none"/>
        </w:rPr>
      </w:pPr>
      <w:r>
        <w:rPr>
          <w:rFonts w:hAnsi="宋体"/>
          <w:color w:val="auto"/>
          <w:sz w:val="22"/>
          <w:szCs w:val="21"/>
          <w:highlight w:val="none"/>
        </w:rPr>
        <w:t>1</w:t>
      </w:r>
      <w:r>
        <w:rPr>
          <w:rFonts w:hint="eastAsia" w:hAnsi="宋体"/>
          <w:color w:val="auto"/>
          <w:sz w:val="22"/>
          <w:szCs w:val="21"/>
          <w:highlight w:val="none"/>
        </w:rPr>
        <w:t>、甲方违约责任</w:t>
      </w:r>
    </w:p>
    <w:p w14:paraId="3BC407B5">
      <w:pPr>
        <w:pStyle w:val="14"/>
        <w:ind w:firstLine="440"/>
        <w:rPr>
          <w:rFonts w:hAnsi="宋体"/>
          <w:color w:val="auto"/>
          <w:sz w:val="22"/>
          <w:szCs w:val="21"/>
          <w:highlight w:val="none"/>
        </w:rPr>
      </w:pPr>
      <w:r>
        <w:rPr>
          <w:rFonts w:hint="eastAsia" w:hAnsi="宋体"/>
          <w:color w:val="auto"/>
          <w:sz w:val="22"/>
          <w:szCs w:val="21"/>
          <w:highlight w:val="none"/>
        </w:rPr>
        <w:t>（</w:t>
      </w:r>
      <w:r>
        <w:rPr>
          <w:rFonts w:hAnsi="宋体"/>
          <w:color w:val="auto"/>
          <w:sz w:val="22"/>
          <w:szCs w:val="21"/>
          <w:highlight w:val="none"/>
        </w:rPr>
        <w:t>1</w:t>
      </w:r>
      <w:r>
        <w:rPr>
          <w:rFonts w:hint="eastAsia" w:hAnsi="宋体"/>
          <w:color w:val="auto"/>
          <w:sz w:val="22"/>
          <w:szCs w:val="21"/>
          <w:highlight w:val="none"/>
        </w:rPr>
        <w:t>）甲方无正当理由拒收货物的，甲方应偿付合同总价百分之</w:t>
      </w:r>
      <w:r>
        <w:rPr>
          <w:rFonts w:hint="eastAsia" w:hAnsi="宋体"/>
          <w:color w:val="auto"/>
          <w:sz w:val="22"/>
          <w:szCs w:val="21"/>
          <w:highlight w:val="none"/>
          <w:u w:val="single"/>
          <w:lang w:val="en-US" w:eastAsia="zh-CN"/>
        </w:rPr>
        <w:t xml:space="preserve">   </w:t>
      </w:r>
      <w:r>
        <w:rPr>
          <w:rFonts w:hint="eastAsia" w:hAnsi="宋体"/>
          <w:color w:val="auto"/>
          <w:sz w:val="22"/>
          <w:szCs w:val="21"/>
          <w:highlight w:val="none"/>
        </w:rPr>
        <w:t>的违约金；</w:t>
      </w:r>
    </w:p>
    <w:p w14:paraId="03DE03F9">
      <w:pPr>
        <w:pStyle w:val="14"/>
        <w:ind w:firstLine="440"/>
        <w:rPr>
          <w:rFonts w:hAnsi="宋体"/>
          <w:color w:val="auto"/>
          <w:sz w:val="22"/>
          <w:szCs w:val="21"/>
          <w:highlight w:val="none"/>
        </w:rPr>
      </w:pPr>
      <w:r>
        <w:rPr>
          <w:rFonts w:hint="eastAsia" w:hAnsi="宋体"/>
          <w:color w:val="auto"/>
          <w:sz w:val="22"/>
          <w:szCs w:val="21"/>
          <w:highlight w:val="none"/>
        </w:rPr>
        <w:t>（</w:t>
      </w:r>
      <w:r>
        <w:rPr>
          <w:rFonts w:hAnsi="宋体"/>
          <w:color w:val="auto"/>
          <w:sz w:val="22"/>
          <w:szCs w:val="21"/>
          <w:highlight w:val="none"/>
        </w:rPr>
        <w:t>2</w:t>
      </w:r>
      <w:r>
        <w:rPr>
          <w:rFonts w:hint="eastAsia" w:hAnsi="宋体"/>
          <w:color w:val="auto"/>
          <w:sz w:val="22"/>
          <w:szCs w:val="21"/>
          <w:highlight w:val="none"/>
        </w:rPr>
        <w:t>）甲方逾期支付货款的，除应及时付足货款外，</w:t>
      </w:r>
      <w:r>
        <w:rPr>
          <w:rFonts w:hAnsi="宋体"/>
          <w:color w:val="auto"/>
          <w:sz w:val="22"/>
          <w:szCs w:val="21"/>
          <w:highlight w:val="none"/>
        </w:rPr>
        <w:t>应向乙方偿付欠款总额万分之</w:t>
      </w:r>
      <w:r>
        <w:rPr>
          <w:rFonts w:hint="eastAsia" w:hAnsi="宋体"/>
          <w:color w:val="auto"/>
          <w:sz w:val="22"/>
          <w:szCs w:val="21"/>
          <w:highlight w:val="none"/>
          <w:u w:val="single"/>
          <w:lang w:val="en-US" w:eastAsia="zh-CN"/>
        </w:rPr>
        <w:t xml:space="preserve">  </w:t>
      </w:r>
      <w:r>
        <w:rPr>
          <w:rFonts w:hAnsi="宋体"/>
          <w:color w:val="auto"/>
          <w:sz w:val="22"/>
          <w:szCs w:val="21"/>
          <w:highlight w:val="none"/>
        </w:rPr>
        <w:t>/天</w:t>
      </w:r>
      <w:r>
        <w:rPr>
          <w:rFonts w:hint="eastAsia" w:hAnsi="宋体"/>
          <w:color w:val="auto"/>
          <w:sz w:val="22"/>
          <w:szCs w:val="21"/>
          <w:highlight w:val="none"/>
        </w:rPr>
        <w:t>的违约金；逾期付款超过</w:t>
      </w:r>
      <w:r>
        <w:rPr>
          <w:rFonts w:hint="eastAsia" w:hAnsi="宋体"/>
          <w:color w:val="auto"/>
          <w:sz w:val="22"/>
          <w:szCs w:val="21"/>
          <w:highlight w:val="none"/>
          <w:u w:val="single"/>
          <w:lang w:val="en-US" w:eastAsia="zh-CN"/>
        </w:rPr>
        <w:t xml:space="preserve">  </w:t>
      </w:r>
      <w:r>
        <w:rPr>
          <w:rFonts w:hint="eastAsia" w:hAnsi="宋体"/>
          <w:color w:val="auto"/>
          <w:sz w:val="22"/>
          <w:szCs w:val="21"/>
          <w:highlight w:val="none"/>
        </w:rPr>
        <w:t>天的，乙方有权终止合同；</w:t>
      </w:r>
    </w:p>
    <w:p w14:paraId="62CF46FD">
      <w:pPr>
        <w:pStyle w:val="14"/>
        <w:ind w:firstLine="440"/>
        <w:rPr>
          <w:rFonts w:hAnsi="宋体"/>
          <w:color w:val="auto"/>
          <w:sz w:val="22"/>
          <w:szCs w:val="21"/>
          <w:highlight w:val="none"/>
        </w:rPr>
      </w:pPr>
      <w:r>
        <w:rPr>
          <w:rFonts w:hint="eastAsia" w:hAnsi="宋体"/>
          <w:color w:val="auto"/>
          <w:sz w:val="22"/>
          <w:szCs w:val="21"/>
          <w:highlight w:val="none"/>
        </w:rPr>
        <w:t>（</w:t>
      </w:r>
      <w:r>
        <w:rPr>
          <w:rFonts w:hAnsi="宋体"/>
          <w:color w:val="auto"/>
          <w:sz w:val="22"/>
          <w:szCs w:val="21"/>
          <w:highlight w:val="none"/>
        </w:rPr>
        <w:t>3</w:t>
      </w:r>
      <w:r>
        <w:rPr>
          <w:rFonts w:hint="eastAsia" w:hAnsi="宋体"/>
          <w:color w:val="auto"/>
          <w:sz w:val="22"/>
          <w:szCs w:val="21"/>
          <w:highlight w:val="none"/>
        </w:rPr>
        <w:t>）甲方偿付的违约金不足以弥补乙方损失的，还应按乙方损失尚未弥补的部分，支付赔偿金给乙方。</w:t>
      </w:r>
    </w:p>
    <w:p w14:paraId="0D6DA562">
      <w:pPr>
        <w:pStyle w:val="14"/>
        <w:ind w:firstLine="440"/>
        <w:rPr>
          <w:rFonts w:hAnsi="宋体"/>
          <w:color w:val="auto"/>
          <w:sz w:val="22"/>
          <w:szCs w:val="21"/>
          <w:highlight w:val="none"/>
        </w:rPr>
      </w:pPr>
      <w:r>
        <w:rPr>
          <w:rFonts w:hAnsi="宋体"/>
          <w:color w:val="auto"/>
          <w:sz w:val="22"/>
          <w:szCs w:val="21"/>
          <w:highlight w:val="none"/>
        </w:rPr>
        <w:t>2</w:t>
      </w:r>
      <w:r>
        <w:rPr>
          <w:rFonts w:hint="eastAsia" w:hAnsi="宋体"/>
          <w:color w:val="auto"/>
          <w:sz w:val="22"/>
          <w:szCs w:val="21"/>
          <w:highlight w:val="none"/>
        </w:rPr>
        <w:t>、乙方违约责任</w:t>
      </w:r>
    </w:p>
    <w:p w14:paraId="3C6E1BAA">
      <w:pPr>
        <w:pStyle w:val="14"/>
        <w:ind w:firstLine="440"/>
        <w:rPr>
          <w:rFonts w:hAnsi="宋体"/>
          <w:color w:val="auto"/>
          <w:sz w:val="22"/>
          <w:szCs w:val="21"/>
          <w:highlight w:val="none"/>
        </w:rPr>
      </w:pPr>
      <w:r>
        <w:rPr>
          <w:rFonts w:hint="eastAsia" w:hAnsi="宋体"/>
          <w:color w:val="auto"/>
          <w:sz w:val="22"/>
          <w:szCs w:val="21"/>
          <w:highlight w:val="none"/>
        </w:rPr>
        <w:t>（</w:t>
      </w:r>
      <w:r>
        <w:rPr>
          <w:rFonts w:hAnsi="宋体"/>
          <w:color w:val="auto"/>
          <w:sz w:val="22"/>
          <w:szCs w:val="21"/>
          <w:highlight w:val="none"/>
        </w:rPr>
        <w:t>1</w:t>
      </w:r>
      <w:r>
        <w:rPr>
          <w:rFonts w:hint="eastAsia" w:hAnsi="宋体"/>
          <w:color w:val="auto"/>
          <w:sz w:val="22"/>
          <w:szCs w:val="21"/>
          <w:highlight w:val="none"/>
        </w:rPr>
        <w:t>）乙方交付的货物质量不符合合同规定的，乙方应向甲方支付合同总价的百分之</w:t>
      </w:r>
      <w:r>
        <w:rPr>
          <w:rFonts w:hint="eastAsia" w:hAnsi="宋体"/>
          <w:color w:val="auto"/>
          <w:sz w:val="22"/>
          <w:szCs w:val="21"/>
          <w:highlight w:val="none"/>
          <w:u w:val="single"/>
          <w:lang w:val="en-US" w:eastAsia="zh-CN"/>
        </w:rPr>
        <w:t xml:space="preserve">   </w:t>
      </w:r>
      <w:r>
        <w:rPr>
          <w:rFonts w:hint="eastAsia" w:hAnsi="宋体"/>
          <w:color w:val="auto"/>
          <w:sz w:val="22"/>
          <w:szCs w:val="21"/>
          <w:highlight w:val="none"/>
        </w:rPr>
        <w:t>的违约金，并须在合同规定的交货时间内更换合格的货物给甲方，否则，视作乙方不能交付货物而违约，按本条本款下述第“（2）”项规定由乙方偿付违约赔偿金给甲方。</w:t>
      </w:r>
    </w:p>
    <w:p w14:paraId="71730018">
      <w:pPr>
        <w:pStyle w:val="14"/>
        <w:ind w:firstLine="440"/>
        <w:rPr>
          <w:rFonts w:hAnsi="宋体"/>
          <w:color w:val="auto"/>
          <w:sz w:val="22"/>
          <w:szCs w:val="21"/>
          <w:highlight w:val="none"/>
        </w:rPr>
      </w:pPr>
      <w:r>
        <w:rPr>
          <w:rFonts w:hint="eastAsia" w:hAnsi="宋体"/>
          <w:color w:val="auto"/>
          <w:sz w:val="22"/>
          <w:szCs w:val="21"/>
          <w:highlight w:val="none"/>
        </w:rPr>
        <w:t>（</w:t>
      </w:r>
      <w:r>
        <w:rPr>
          <w:rFonts w:hAnsi="宋体"/>
          <w:color w:val="auto"/>
          <w:sz w:val="22"/>
          <w:szCs w:val="21"/>
          <w:highlight w:val="none"/>
        </w:rPr>
        <w:t>2</w:t>
      </w:r>
      <w:r>
        <w:rPr>
          <w:rFonts w:hint="eastAsia" w:hAnsi="宋体"/>
          <w:color w:val="auto"/>
          <w:sz w:val="22"/>
          <w:szCs w:val="21"/>
          <w:highlight w:val="none"/>
        </w:rPr>
        <w:t>）乙方不能交付货物或逾期交付货物而违约的，除应及时交足货物外，</w:t>
      </w:r>
      <w:r>
        <w:rPr>
          <w:rFonts w:hAnsi="宋体"/>
          <w:color w:val="auto"/>
          <w:sz w:val="22"/>
          <w:szCs w:val="21"/>
          <w:highlight w:val="none"/>
        </w:rPr>
        <w:t>应向甲方偿付逾期交货部分货款总额的万分之</w:t>
      </w:r>
      <w:r>
        <w:rPr>
          <w:rFonts w:hAnsi="宋体"/>
          <w:color w:val="auto"/>
          <w:sz w:val="22"/>
          <w:szCs w:val="21"/>
          <w:highlight w:val="none"/>
          <w:u w:val="single"/>
        </w:rPr>
        <w:t xml:space="preserve"> </w:t>
      </w:r>
      <w:r>
        <w:rPr>
          <w:rFonts w:hint="eastAsia" w:hAnsi="宋体"/>
          <w:color w:val="auto"/>
          <w:sz w:val="22"/>
          <w:szCs w:val="21"/>
          <w:highlight w:val="none"/>
          <w:u w:val="single"/>
          <w:lang w:val="en-US" w:eastAsia="zh-CN"/>
        </w:rPr>
        <w:t xml:space="preserve">  </w:t>
      </w:r>
      <w:r>
        <w:rPr>
          <w:rFonts w:hAnsi="宋体"/>
          <w:color w:val="auto"/>
          <w:sz w:val="22"/>
          <w:szCs w:val="21"/>
          <w:highlight w:val="none"/>
        </w:rPr>
        <w:t>/天</w:t>
      </w:r>
      <w:r>
        <w:rPr>
          <w:rFonts w:hint="eastAsia" w:hAnsi="宋体"/>
          <w:color w:val="auto"/>
          <w:sz w:val="22"/>
          <w:szCs w:val="21"/>
          <w:highlight w:val="none"/>
        </w:rPr>
        <w:t>的违约金；逾期交货超过</w:t>
      </w:r>
      <w:r>
        <w:rPr>
          <w:rFonts w:hint="eastAsia"/>
          <w:color w:val="auto"/>
          <w:sz w:val="22"/>
          <w:szCs w:val="21"/>
          <w:highlight w:val="none"/>
          <w:u w:val="single"/>
          <w:lang w:val="en-US" w:eastAsia="zh-CN"/>
        </w:rPr>
        <w:t xml:space="preserve">  </w:t>
      </w:r>
      <w:r>
        <w:rPr>
          <w:rFonts w:hint="eastAsia" w:hAnsi="宋体"/>
          <w:color w:val="auto"/>
          <w:sz w:val="22"/>
          <w:szCs w:val="21"/>
          <w:highlight w:val="none"/>
        </w:rPr>
        <w:t>天，甲方有权终止合同，乙方则应按合同总价的百分之</w:t>
      </w:r>
      <w:r>
        <w:rPr>
          <w:rFonts w:hint="eastAsia" w:hAnsi="宋体"/>
          <w:color w:val="auto"/>
          <w:sz w:val="22"/>
          <w:szCs w:val="21"/>
          <w:highlight w:val="none"/>
          <w:u w:val="single"/>
          <w:lang w:val="en-US" w:eastAsia="zh-CN"/>
        </w:rPr>
        <w:t xml:space="preserve">   </w:t>
      </w:r>
      <w:r>
        <w:rPr>
          <w:rFonts w:hint="eastAsia" w:hAnsi="宋体"/>
          <w:color w:val="auto"/>
          <w:sz w:val="22"/>
          <w:szCs w:val="21"/>
          <w:highlight w:val="none"/>
        </w:rPr>
        <w:t>的款额向甲方偿付赔偿金，并须全额退还甲方已经付给乙方的货款及其利息。</w:t>
      </w:r>
    </w:p>
    <w:p w14:paraId="78F0D18A">
      <w:pPr>
        <w:pStyle w:val="14"/>
        <w:ind w:firstLine="440"/>
        <w:rPr>
          <w:rFonts w:hAnsi="宋体"/>
          <w:color w:val="auto"/>
          <w:sz w:val="22"/>
          <w:szCs w:val="21"/>
          <w:highlight w:val="none"/>
        </w:rPr>
      </w:pPr>
      <w:r>
        <w:rPr>
          <w:rFonts w:hint="eastAsia" w:hAnsi="宋体"/>
          <w:color w:val="auto"/>
          <w:sz w:val="22"/>
          <w:szCs w:val="21"/>
          <w:highlight w:val="none"/>
        </w:rPr>
        <w:t>（</w:t>
      </w:r>
      <w:r>
        <w:rPr>
          <w:rFonts w:hAnsi="宋体"/>
          <w:color w:val="auto"/>
          <w:sz w:val="22"/>
          <w:szCs w:val="21"/>
          <w:highlight w:val="none"/>
        </w:rPr>
        <w:t>3</w:t>
      </w:r>
      <w:r>
        <w:rPr>
          <w:rFonts w:hint="eastAsia" w:hAnsi="宋体"/>
          <w:color w:val="auto"/>
          <w:sz w:val="22"/>
          <w:szCs w:val="21"/>
          <w:highlight w:val="none"/>
        </w:rPr>
        <w:t>）乙方货物经甲方送交具有法定资格条件的质量技术监督机构检测后，如检测结果认定货物质量不符合本合同规定标准的，则视为乙方没有按时交货而违约，乙方须在天内无条件更换合格的货物，如逾期不能更换合格的货物，甲方有权终止本合同，乙方应另付合同总价的百分之</w:t>
      </w:r>
      <w:r>
        <w:rPr>
          <w:rFonts w:hint="eastAsia" w:hAnsi="宋体"/>
          <w:color w:val="auto"/>
          <w:sz w:val="22"/>
          <w:szCs w:val="21"/>
          <w:highlight w:val="none"/>
          <w:u w:val="single"/>
          <w:lang w:val="en-US" w:eastAsia="zh-CN"/>
        </w:rPr>
        <w:t xml:space="preserve">    </w:t>
      </w:r>
      <w:r>
        <w:rPr>
          <w:rFonts w:hint="eastAsia" w:hAnsi="宋体"/>
          <w:color w:val="auto"/>
          <w:sz w:val="22"/>
          <w:szCs w:val="21"/>
          <w:highlight w:val="none"/>
        </w:rPr>
        <w:t>的赔偿金给甲方。</w:t>
      </w:r>
    </w:p>
    <w:p w14:paraId="2993B8C2">
      <w:pPr>
        <w:pStyle w:val="14"/>
        <w:ind w:firstLine="440"/>
        <w:rPr>
          <w:rFonts w:hAnsi="宋体"/>
          <w:color w:val="auto"/>
          <w:sz w:val="22"/>
          <w:szCs w:val="21"/>
          <w:highlight w:val="none"/>
        </w:rPr>
      </w:pPr>
      <w:r>
        <w:rPr>
          <w:rFonts w:hint="eastAsia" w:hAnsi="宋体"/>
          <w:color w:val="auto"/>
          <w:sz w:val="22"/>
          <w:szCs w:val="21"/>
          <w:highlight w:val="none"/>
        </w:rPr>
        <w:t>（4）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w:t>
      </w:r>
      <w:r>
        <w:rPr>
          <w:rFonts w:hint="eastAsia" w:hAnsi="宋体"/>
          <w:color w:val="auto"/>
          <w:sz w:val="22"/>
          <w:szCs w:val="21"/>
          <w:highlight w:val="none"/>
          <w:lang w:val="en-US" w:eastAsia="zh-CN"/>
        </w:rPr>
        <w:t xml:space="preserve"> </w:t>
      </w:r>
      <w:r>
        <w:rPr>
          <w:rFonts w:hint="eastAsia" w:hAnsi="宋体"/>
          <w:color w:val="auto"/>
          <w:sz w:val="22"/>
          <w:szCs w:val="21"/>
          <w:highlight w:val="none"/>
        </w:rPr>
        <w:t>的百分之</w:t>
      </w:r>
      <w:r>
        <w:rPr>
          <w:rFonts w:hint="eastAsia" w:hAnsi="宋体"/>
          <w:color w:val="auto"/>
          <w:sz w:val="22"/>
          <w:szCs w:val="21"/>
          <w:highlight w:val="none"/>
          <w:u w:val="single"/>
          <w:lang w:val="en-US" w:eastAsia="zh-CN"/>
        </w:rPr>
        <w:t xml:space="preserve">    </w:t>
      </w:r>
      <w:r>
        <w:rPr>
          <w:rFonts w:hint="eastAsia" w:hAnsi="宋体"/>
          <w:color w:val="auto"/>
          <w:sz w:val="22"/>
          <w:szCs w:val="21"/>
          <w:highlight w:val="none"/>
        </w:rPr>
        <w:t>向甲方支付违约金并赔偿因此给甲方造成的一切损失。</w:t>
      </w:r>
    </w:p>
    <w:p w14:paraId="21CD7579">
      <w:pPr>
        <w:pStyle w:val="14"/>
        <w:ind w:firstLine="440"/>
        <w:rPr>
          <w:rFonts w:hAnsi="宋体"/>
          <w:color w:val="auto"/>
          <w:sz w:val="22"/>
          <w:szCs w:val="21"/>
          <w:highlight w:val="none"/>
        </w:rPr>
      </w:pPr>
      <w:r>
        <w:rPr>
          <w:rFonts w:hint="eastAsia" w:hAnsi="宋体"/>
          <w:color w:val="auto"/>
          <w:sz w:val="22"/>
          <w:szCs w:val="21"/>
          <w:highlight w:val="none"/>
        </w:rPr>
        <w:t>（</w:t>
      </w:r>
      <w:r>
        <w:rPr>
          <w:rFonts w:hAnsi="宋体"/>
          <w:color w:val="auto"/>
          <w:sz w:val="22"/>
          <w:szCs w:val="21"/>
          <w:highlight w:val="none"/>
        </w:rPr>
        <w:t>5</w:t>
      </w:r>
      <w:r>
        <w:rPr>
          <w:rFonts w:hint="eastAsia" w:hAnsi="宋体"/>
          <w:color w:val="auto"/>
          <w:sz w:val="22"/>
          <w:szCs w:val="21"/>
          <w:highlight w:val="none"/>
        </w:rPr>
        <w:t>）乙方偿付的违约金不足以弥补甲方损失的，还应按甲方损失尚未弥补的部分，支付赔偿金给甲方。</w:t>
      </w:r>
    </w:p>
    <w:p w14:paraId="1EA8469E">
      <w:pPr>
        <w:pStyle w:val="3"/>
        <w:tabs>
          <w:tab w:val="left" w:pos="720"/>
        </w:tabs>
        <w:spacing w:line="400" w:lineRule="exact"/>
        <w:ind w:firstLine="442" w:firstLineChars="200"/>
        <w:jc w:val="left"/>
        <w:rPr>
          <w:rFonts w:ascii="黑体" w:hAnsi="宋体"/>
          <w:color w:val="auto"/>
          <w:sz w:val="22"/>
          <w:szCs w:val="22"/>
          <w:highlight w:val="none"/>
        </w:rPr>
      </w:pPr>
      <w:bookmarkStart w:id="8" w:name="_Toc217446114"/>
      <w:r>
        <w:rPr>
          <w:rFonts w:hint="eastAsia" w:ascii="黑体" w:hAnsi="宋体"/>
          <w:color w:val="auto"/>
          <w:sz w:val="22"/>
          <w:szCs w:val="22"/>
          <w:highlight w:val="none"/>
        </w:rPr>
        <w:t>八、争议解决办法</w:t>
      </w:r>
      <w:bookmarkEnd w:id="8"/>
    </w:p>
    <w:p w14:paraId="4F77C423">
      <w:pPr>
        <w:pStyle w:val="14"/>
        <w:ind w:firstLine="440"/>
        <w:rPr>
          <w:rFonts w:hAnsi="宋体"/>
          <w:color w:val="auto"/>
          <w:sz w:val="22"/>
          <w:szCs w:val="21"/>
          <w:highlight w:val="none"/>
        </w:rPr>
      </w:pPr>
      <w:r>
        <w:rPr>
          <w:rFonts w:hAnsi="宋体"/>
          <w:color w:val="auto"/>
          <w:sz w:val="22"/>
          <w:szCs w:val="21"/>
          <w:highlight w:val="none"/>
        </w:rPr>
        <w:t>1</w:t>
      </w:r>
      <w:r>
        <w:rPr>
          <w:rFonts w:hint="eastAsia" w:hAnsi="宋体"/>
          <w:color w:val="auto"/>
          <w:sz w:val="22"/>
          <w:szCs w:val="21"/>
          <w:highlight w:val="none"/>
        </w:rPr>
        <w:t>、因货物的质量问题发生争议，由质量技术监督部门或其指定的质量鉴定机构进行质量鉴定。货物符合标准的，鉴定费由甲方承担；货物不符合质量标准的，鉴定费由乙方承担。</w:t>
      </w:r>
    </w:p>
    <w:p w14:paraId="1C5BAC23">
      <w:pPr>
        <w:pStyle w:val="14"/>
        <w:ind w:firstLine="440"/>
        <w:rPr>
          <w:rFonts w:hAnsi="宋体"/>
          <w:color w:val="auto"/>
          <w:sz w:val="22"/>
          <w:szCs w:val="21"/>
          <w:highlight w:val="none"/>
        </w:rPr>
      </w:pPr>
      <w:r>
        <w:rPr>
          <w:rFonts w:hAnsi="宋体"/>
          <w:color w:val="auto"/>
          <w:sz w:val="22"/>
          <w:szCs w:val="21"/>
          <w:highlight w:val="none"/>
        </w:rPr>
        <w:t>2</w:t>
      </w:r>
      <w:r>
        <w:rPr>
          <w:rFonts w:hint="eastAsia" w:hAnsi="宋体"/>
          <w:color w:val="auto"/>
          <w:sz w:val="22"/>
          <w:szCs w:val="21"/>
          <w:highlight w:val="none"/>
        </w:rPr>
        <w:t>、合同履行期间</w:t>
      </w:r>
      <w:r>
        <w:rPr>
          <w:rFonts w:hAnsi="宋体"/>
          <w:color w:val="auto"/>
          <w:sz w:val="22"/>
          <w:szCs w:val="21"/>
          <w:highlight w:val="none"/>
        </w:rPr>
        <w:t>,</w:t>
      </w:r>
      <w:r>
        <w:rPr>
          <w:rFonts w:hint="eastAsia" w:hAnsi="宋体"/>
          <w:color w:val="auto"/>
          <w:sz w:val="22"/>
          <w:szCs w:val="21"/>
          <w:highlight w:val="none"/>
        </w:rPr>
        <w:t>若双方发生争议，可协商或由有关部门调解解决，协商或调解不成的，向西安仲裁委员会提请仲裁。</w:t>
      </w:r>
    </w:p>
    <w:p w14:paraId="0DE2EE5F">
      <w:pPr>
        <w:pStyle w:val="3"/>
        <w:tabs>
          <w:tab w:val="left" w:pos="720"/>
        </w:tabs>
        <w:spacing w:line="400" w:lineRule="exact"/>
        <w:ind w:firstLine="442" w:firstLineChars="200"/>
        <w:jc w:val="left"/>
        <w:rPr>
          <w:rFonts w:ascii="黑体" w:hAnsi="宋体"/>
          <w:color w:val="auto"/>
          <w:sz w:val="22"/>
          <w:szCs w:val="22"/>
          <w:highlight w:val="none"/>
        </w:rPr>
      </w:pPr>
      <w:bookmarkStart w:id="9" w:name="_Toc217446115"/>
      <w:r>
        <w:rPr>
          <w:rFonts w:hint="eastAsia" w:ascii="黑体" w:hAnsi="宋体"/>
          <w:color w:val="auto"/>
          <w:sz w:val="22"/>
          <w:szCs w:val="22"/>
          <w:highlight w:val="none"/>
        </w:rPr>
        <w:t>九、其他</w:t>
      </w:r>
      <w:bookmarkEnd w:id="9"/>
    </w:p>
    <w:p w14:paraId="0E53D37D">
      <w:pPr>
        <w:pStyle w:val="14"/>
        <w:ind w:firstLine="440"/>
        <w:rPr>
          <w:rFonts w:hAnsi="宋体"/>
          <w:color w:val="auto"/>
          <w:sz w:val="22"/>
          <w:szCs w:val="21"/>
          <w:highlight w:val="none"/>
        </w:rPr>
      </w:pPr>
      <w:r>
        <w:rPr>
          <w:rFonts w:hAnsi="宋体"/>
          <w:color w:val="auto"/>
          <w:sz w:val="22"/>
          <w:szCs w:val="21"/>
          <w:highlight w:val="none"/>
        </w:rPr>
        <w:t>1</w:t>
      </w:r>
      <w:r>
        <w:rPr>
          <w:rFonts w:hint="eastAsia" w:hAnsi="宋体"/>
          <w:color w:val="auto"/>
          <w:sz w:val="22"/>
          <w:szCs w:val="21"/>
          <w:highlight w:val="none"/>
        </w:rPr>
        <w:t>、如有未尽事宜，由双方依法订立补充合同。</w:t>
      </w:r>
    </w:p>
    <w:p w14:paraId="391EC5FB">
      <w:pPr>
        <w:pStyle w:val="14"/>
        <w:ind w:firstLine="440"/>
        <w:rPr>
          <w:rFonts w:hAnsi="宋体"/>
          <w:color w:val="auto"/>
          <w:sz w:val="22"/>
          <w:szCs w:val="21"/>
          <w:highlight w:val="none"/>
        </w:rPr>
      </w:pPr>
      <w:r>
        <w:rPr>
          <w:rFonts w:hAnsi="宋体"/>
          <w:color w:val="auto"/>
          <w:sz w:val="22"/>
          <w:szCs w:val="21"/>
          <w:highlight w:val="none"/>
        </w:rPr>
        <w:t>2</w:t>
      </w:r>
      <w:r>
        <w:rPr>
          <w:rFonts w:hint="eastAsia" w:hAnsi="宋体"/>
          <w:color w:val="auto"/>
          <w:sz w:val="22"/>
          <w:szCs w:val="21"/>
          <w:highlight w:val="none"/>
        </w:rPr>
        <w:t>、本合同一式四份，自双方签章之日起生效。甲方二份，乙方、采购代理机构各一份。</w:t>
      </w:r>
    </w:p>
    <w:p w14:paraId="4EFBC840">
      <w:pPr>
        <w:spacing w:line="400" w:lineRule="exact"/>
        <w:rPr>
          <w:rFonts w:hAnsi="宋体"/>
          <w:color w:val="auto"/>
          <w:sz w:val="22"/>
          <w:szCs w:val="21"/>
          <w:highlight w:val="none"/>
        </w:rPr>
      </w:pPr>
    </w:p>
    <w:p w14:paraId="1DB6CB6D">
      <w:pPr>
        <w:spacing w:line="400" w:lineRule="exact"/>
        <w:rPr>
          <w:rFonts w:hAnsi="宋体"/>
          <w:color w:val="auto"/>
          <w:sz w:val="22"/>
          <w:szCs w:val="21"/>
          <w:highlight w:val="none"/>
        </w:rPr>
      </w:pPr>
    </w:p>
    <w:p w14:paraId="266EB2CE">
      <w:pPr>
        <w:spacing w:line="400" w:lineRule="exact"/>
        <w:ind w:firstLine="440" w:firstLineChars="200"/>
        <w:rPr>
          <w:rFonts w:hAnsi="宋体"/>
          <w:color w:val="auto"/>
          <w:sz w:val="22"/>
          <w:szCs w:val="21"/>
          <w:highlight w:val="none"/>
        </w:rPr>
      </w:pPr>
      <w:r>
        <w:rPr>
          <w:rFonts w:hint="eastAsia" w:hAnsi="宋体"/>
          <w:color w:val="auto"/>
          <w:sz w:val="22"/>
          <w:szCs w:val="21"/>
          <w:highlight w:val="none"/>
        </w:rPr>
        <w:t>甲方：   （盖章）</w:t>
      </w:r>
      <w:r>
        <w:rPr>
          <w:rFonts w:hAnsi="宋体"/>
          <w:color w:val="auto"/>
          <w:sz w:val="22"/>
          <w:szCs w:val="21"/>
          <w:highlight w:val="none"/>
        </w:rPr>
        <w:tab/>
      </w:r>
      <w:r>
        <w:rPr>
          <w:rFonts w:hAnsi="宋体"/>
          <w:color w:val="auto"/>
          <w:sz w:val="22"/>
          <w:szCs w:val="21"/>
          <w:highlight w:val="none"/>
        </w:rPr>
        <w:tab/>
      </w:r>
      <w:r>
        <w:rPr>
          <w:rFonts w:hAnsi="宋体"/>
          <w:color w:val="auto"/>
          <w:sz w:val="22"/>
          <w:szCs w:val="21"/>
          <w:highlight w:val="none"/>
        </w:rPr>
        <w:tab/>
      </w:r>
      <w:r>
        <w:rPr>
          <w:rFonts w:hint="eastAsia" w:hAnsi="宋体"/>
          <w:color w:val="auto"/>
          <w:sz w:val="22"/>
          <w:szCs w:val="21"/>
          <w:highlight w:val="none"/>
        </w:rPr>
        <w:t xml:space="preserve">   乙方：（盖章）</w:t>
      </w:r>
    </w:p>
    <w:p w14:paraId="220B8A76">
      <w:pPr>
        <w:spacing w:line="400" w:lineRule="exact"/>
        <w:ind w:firstLine="440" w:firstLineChars="200"/>
        <w:rPr>
          <w:rFonts w:hAnsi="宋体"/>
          <w:color w:val="auto"/>
          <w:sz w:val="22"/>
          <w:szCs w:val="21"/>
          <w:highlight w:val="none"/>
        </w:rPr>
      </w:pPr>
      <w:r>
        <w:rPr>
          <w:rFonts w:hint="eastAsia" w:hAnsi="宋体"/>
          <w:color w:val="auto"/>
          <w:sz w:val="22"/>
          <w:szCs w:val="21"/>
          <w:highlight w:val="none"/>
        </w:rPr>
        <w:t>法定代表人（授权代表）：      法定代表人（授权代表）：</w:t>
      </w:r>
    </w:p>
    <w:p w14:paraId="47A9E131">
      <w:pPr>
        <w:spacing w:line="400" w:lineRule="exact"/>
        <w:ind w:firstLine="440" w:firstLineChars="200"/>
        <w:rPr>
          <w:rFonts w:hAnsi="宋体"/>
          <w:color w:val="auto"/>
          <w:sz w:val="22"/>
          <w:szCs w:val="21"/>
          <w:highlight w:val="none"/>
        </w:rPr>
      </w:pPr>
      <w:r>
        <w:rPr>
          <w:rFonts w:hint="eastAsia" w:hAnsi="宋体"/>
          <w:color w:val="auto"/>
          <w:sz w:val="22"/>
          <w:szCs w:val="21"/>
          <w:highlight w:val="none"/>
        </w:rPr>
        <w:t>地址：地址：</w:t>
      </w:r>
    </w:p>
    <w:p w14:paraId="54C31F95">
      <w:pPr>
        <w:spacing w:line="400" w:lineRule="exact"/>
        <w:ind w:firstLine="440" w:firstLineChars="200"/>
        <w:rPr>
          <w:rFonts w:hAnsi="宋体"/>
          <w:color w:val="auto"/>
          <w:sz w:val="22"/>
          <w:szCs w:val="21"/>
          <w:highlight w:val="none"/>
        </w:rPr>
      </w:pPr>
      <w:r>
        <w:rPr>
          <w:rFonts w:hint="eastAsia" w:hAnsi="宋体"/>
          <w:color w:val="auto"/>
          <w:sz w:val="22"/>
          <w:szCs w:val="21"/>
          <w:highlight w:val="none"/>
        </w:rPr>
        <w:t>开户银行：                      开户银行：</w:t>
      </w:r>
    </w:p>
    <w:p w14:paraId="38AC8EAF">
      <w:pPr>
        <w:spacing w:line="400" w:lineRule="exact"/>
        <w:ind w:firstLine="440" w:firstLineChars="200"/>
        <w:rPr>
          <w:rFonts w:hAnsi="宋体"/>
          <w:color w:val="auto"/>
          <w:sz w:val="22"/>
          <w:szCs w:val="21"/>
          <w:highlight w:val="none"/>
        </w:rPr>
      </w:pPr>
      <w:r>
        <w:rPr>
          <w:rFonts w:hint="eastAsia" w:hAnsi="宋体"/>
          <w:color w:val="auto"/>
          <w:sz w:val="22"/>
          <w:szCs w:val="21"/>
          <w:highlight w:val="none"/>
        </w:rPr>
        <w:t>账号：                          账号：</w:t>
      </w:r>
    </w:p>
    <w:p w14:paraId="7EAD9E54">
      <w:pPr>
        <w:spacing w:line="400" w:lineRule="exact"/>
        <w:ind w:firstLine="440" w:firstLineChars="200"/>
        <w:rPr>
          <w:rFonts w:hAnsi="宋体"/>
          <w:color w:val="auto"/>
          <w:sz w:val="22"/>
          <w:szCs w:val="21"/>
          <w:highlight w:val="none"/>
        </w:rPr>
      </w:pPr>
      <w:r>
        <w:rPr>
          <w:rFonts w:hint="eastAsia" w:hAnsi="宋体"/>
          <w:color w:val="auto"/>
          <w:sz w:val="22"/>
          <w:szCs w:val="21"/>
          <w:highlight w:val="none"/>
        </w:rPr>
        <w:t>电话：                          电话：</w:t>
      </w:r>
    </w:p>
    <w:p w14:paraId="5CD115A3">
      <w:pPr>
        <w:spacing w:line="400" w:lineRule="exact"/>
        <w:ind w:firstLine="440" w:firstLineChars="200"/>
        <w:rPr>
          <w:rFonts w:hAnsi="宋体"/>
          <w:color w:val="auto"/>
          <w:sz w:val="22"/>
          <w:szCs w:val="21"/>
          <w:highlight w:val="none"/>
        </w:rPr>
      </w:pPr>
      <w:r>
        <w:rPr>
          <w:rFonts w:hint="eastAsia" w:hAnsi="宋体"/>
          <w:color w:val="auto"/>
          <w:sz w:val="22"/>
          <w:szCs w:val="21"/>
          <w:highlight w:val="none"/>
        </w:rPr>
        <w:t>传真：                          传真：</w:t>
      </w:r>
    </w:p>
    <w:p w14:paraId="7451C3A4">
      <w:pPr>
        <w:spacing w:line="400" w:lineRule="exact"/>
        <w:ind w:firstLine="440" w:firstLineChars="200"/>
        <w:rPr>
          <w:rFonts w:hAnsi="宋体"/>
          <w:color w:val="auto"/>
          <w:sz w:val="22"/>
          <w:szCs w:val="21"/>
          <w:highlight w:val="none"/>
        </w:rPr>
      </w:pPr>
      <w:r>
        <w:rPr>
          <w:rFonts w:hint="eastAsia" w:hAnsi="宋体"/>
          <w:color w:val="auto"/>
          <w:sz w:val="22"/>
          <w:szCs w:val="21"/>
          <w:highlight w:val="none"/>
        </w:rPr>
        <w:t>签约日期：</w:t>
      </w:r>
      <w:r>
        <w:rPr>
          <w:rFonts w:hint="eastAsia"/>
          <w:color w:val="auto"/>
          <w:sz w:val="22"/>
          <w:szCs w:val="21"/>
          <w:highlight w:val="none"/>
        </w:rPr>
        <w:t>XX</w:t>
      </w:r>
      <w:r>
        <w:rPr>
          <w:rFonts w:hint="eastAsia" w:hAnsi="宋体"/>
          <w:color w:val="auto"/>
          <w:sz w:val="22"/>
          <w:szCs w:val="21"/>
          <w:highlight w:val="none"/>
        </w:rPr>
        <w:t>年</w:t>
      </w:r>
      <w:r>
        <w:rPr>
          <w:rFonts w:hint="eastAsia"/>
          <w:color w:val="auto"/>
          <w:sz w:val="22"/>
          <w:szCs w:val="21"/>
          <w:highlight w:val="none"/>
        </w:rPr>
        <w:t>XX</w:t>
      </w:r>
      <w:r>
        <w:rPr>
          <w:rFonts w:hint="eastAsia" w:hAnsi="宋体"/>
          <w:color w:val="auto"/>
          <w:sz w:val="22"/>
          <w:szCs w:val="21"/>
          <w:highlight w:val="none"/>
        </w:rPr>
        <w:t>月</w:t>
      </w:r>
      <w:r>
        <w:rPr>
          <w:rFonts w:hint="eastAsia"/>
          <w:color w:val="auto"/>
          <w:sz w:val="22"/>
          <w:szCs w:val="21"/>
          <w:highlight w:val="none"/>
        </w:rPr>
        <w:t>XX</w:t>
      </w:r>
      <w:r>
        <w:rPr>
          <w:rFonts w:hint="eastAsia" w:hAnsi="宋体"/>
          <w:color w:val="auto"/>
          <w:sz w:val="22"/>
          <w:szCs w:val="21"/>
          <w:highlight w:val="none"/>
        </w:rPr>
        <w:t>日</w:t>
      </w:r>
      <w:r>
        <w:rPr>
          <w:rFonts w:hAnsi="宋体"/>
          <w:color w:val="auto"/>
          <w:sz w:val="22"/>
          <w:szCs w:val="21"/>
          <w:highlight w:val="none"/>
        </w:rPr>
        <w:tab/>
      </w:r>
      <w:r>
        <w:rPr>
          <w:rFonts w:hAnsi="宋体"/>
          <w:color w:val="auto"/>
          <w:sz w:val="22"/>
          <w:szCs w:val="21"/>
          <w:highlight w:val="none"/>
        </w:rPr>
        <w:tab/>
      </w:r>
      <w:r>
        <w:rPr>
          <w:rFonts w:hint="eastAsia" w:hAnsi="宋体"/>
          <w:color w:val="auto"/>
          <w:sz w:val="22"/>
          <w:szCs w:val="21"/>
          <w:highlight w:val="none"/>
        </w:rPr>
        <w:t>签约日期：</w:t>
      </w:r>
      <w:r>
        <w:rPr>
          <w:rFonts w:hint="eastAsia"/>
          <w:color w:val="auto"/>
          <w:sz w:val="22"/>
          <w:szCs w:val="21"/>
          <w:highlight w:val="none"/>
        </w:rPr>
        <w:t>XX</w:t>
      </w:r>
      <w:r>
        <w:rPr>
          <w:rFonts w:hint="eastAsia" w:hAnsi="宋体"/>
          <w:color w:val="auto"/>
          <w:sz w:val="22"/>
          <w:szCs w:val="21"/>
          <w:highlight w:val="none"/>
        </w:rPr>
        <w:t>年</w:t>
      </w:r>
      <w:r>
        <w:rPr>
          <w:rFonts w:hint="eastAsia"/>
          <w:color w:val="auto"/>
          <w:sz w:val="22"/>
          <w:szCs w:val="21"/>
          <w:highlight w:val="none"/>
        </w:rPr>
        <w:t>XX</w:t>
      </w:r>
      <w:r>
        <w:rPr>
          <w:rFonts w:hint="eastAsia" w:hAnsi="宋体"/>
          <w:color w:val="auto"/>
          <w:sz w:val="22"/>
          <w:szCs w:val="21"/>
          <w:highlight w:val="none"/>
        </w:rPr>
        <w:t>月</w:t>
      </w:r>
      <w:r>
        <w:rPr>
          <w:rFonts w:hint="eastAsia"/>
          <w:color w:val="auto"/>
          <w:sz w:val="22"/>
          <w:szCs w:val="21"/>
          <w:highlight w:val="none"/>
        </w:rPr>
        <w:t>XX日</w:t>
      </w:r>
    </w:p>
    <w:p w14:paraId="774D6078">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2B16A1"/>
    <w:multiLevelType w:val="multilevel"/>
    <w:tmpl w:val="252B16A1"/>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pStyle w:val="4"/>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6"/>
      <w:lvlText w:val="           "/>
      <w:lvlJc w:val="left"/>
      <w:pPr>
        <w:tabs>
          <w:tab w:val="left" w:pos="1440"/>
        </w:tabs>
        <w:ind w:left="1152" w:hanging="1152"/>
      </w:pPr>
      <w:rPr>
        <w:rFonts w:hint="eastAsia"/>
      </w:rPr>
    </w:lvl>
    <w:lvl w:ilvl="6" w:tentative="0">
      <w:start w:val="1"/>
      <w:numFmt w:val="decimal"/>
      <w:pStyle w:val="7"/>
      <w:lvlText w:val="%1.%2.%3.%4.%5.%6.%7"/>
      <w:lvlJc w:val="left"/>
      <w:pPr>
        <w:tabs>
          <w:tab w:val="left" w:pos="2520"/>
        </w:tabs>
        <w:ind w:left="1296" w:hanging="1296"/>
      </w:pPr>
      <w:rPr>
        <w:rFonts w:hint="eastAsia"/>
      </w:rPr>
    </w:lvl>
    <w:lvl w:ilvl="7" w:tentative="0">
      <w:start w:val="1"/>
      <w:numFmt w:val="decimal"/>
      <w:pStyle w:val="8"/>
      <w:lvlText w:val="%1.%2.%3.%4.%5.%6.%7.%8"/>
      <w:lvlJc w:val="left"/>
      <w:pPr>
        <w:tabs>
          <w:tab w:val="left" w:pos="1440"/>
        </w:tabs>
        <w:ind w:left="1440" w:hanging="1440"/>
      </w:pPr>
      <w:rPr>
        <w:rFonts w:hint="eastAsia"/>
      </w:rPr>
    </w:lvl>
    <w:lvl w:ilvl="8" w:tentative="0">
      <w:start w:val="1"/>
      <w:numFmt w:val="decimal"/>
      <w:pStyle w:val="9"/>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904DC8"/>
    <w:rsid w:val="02C55C38"/>
    <w:rsid w:val="0406295F"/>
    <w:rsid w:val="13854F16"/>
    <w:rsid w:val="1570332C"/>
    <w:rsid w:val="1D082E2F"/>
    <w:rsid w:val="1E0818E8"/>
    <w:rsid w:val="23444C71"/>
    <w:rsid w:val="28BB12DA"/>
    <w:rsid w:val="2B543914"/>
    <w:rsid w:val="30C2605F"/>
    <w:rsid w:val="32781DD1"/>
    <w:rsid w:val="331E090D"/>
    <w:rsid w:val="42214674"/>
    <w:rsid w:val="467C38B1"/>
    <w:rsid w:val="4717648D"/>
    <w:rsid w:val="4ED308DE"/>
    <w:rsid w:val="59FD6606"/>
    <w:rsid w:val="63904DC8"/>
    <w:rsid w:val="6FFB6E2D"/>
    <w:rsid w:val="709D6037"/>
    <w:rsid w:val="72523986"/>
    <w:rsid w:val="7A067BFE"/>
    <w:rsid w:val="7ADB02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4"/>
      <w:szCs w:val="24"/>
      <w:lang w:val="en-US" w:eastAsia="zh-CN" w:bidi="ar-SA"/>
    </w:rPr>
  </w:style>
  <w:style w:type="paragraph" w:styleId="2">
    <w:name w:val="heading 1"/>
    <w:basedOn w:val="1"/>
    <w:next w:val="1"/>
    <w:link w:val="13"/>
    <w:qFormat/>
    <w:uiPriority w:val="0"/>
    <w:pPr>
      <w:spacing w:before="98" w:line="240" w:lineRule="auto"/>
      <w:ind w:left="24"/>
      <w:jc w:val="left"/>
      <w:outlineLvl w:val="0"/>
    </w:pPr>
    <w:rPr>
      <w:rFonts w:ascii="宋体" w:hAnsi="宋体" w:eastAsia="宋体" w:cs="宋体"/>
      <w:b/>
      <w:bCs/>
      <w:color w:val="auto"/>
      <w:spacing w:val="-4"/>
      <w:sz w:val="28"/>
      <w:szCs w:val="28"/>
    </w:rPr>
  </w:style>
  <w:style w:type="paragraph" w:styleId="3">
    <w:name w:val="heading 2"/>
    <w:basedOn w:val="1"/>
    <w:next w:val="1"/>
    <w:semiHidden/>
    <w:unhideWhenUsed/>
    <w:qFormat/>
    <w:uiPriority w:val="0"/>
    <w:pPr>
      <w:spacing w:line="240" w:lineRule="auto"/>
      <w:jc w:val="left"/>
      <w:outlineLvl w:val="1"/>
    </w:pPr>
    <w:rPr>
      <w:rFonts w:ascii="仿宋" w:hAnsi="仿宋" w:eastAsia="宋体" w:cs="仿宋"/>
      <w:b/>
      <w:bCs/>
      <w:snapToGrid w:val="0"/>
      <w:color w:val="000000"/>
      <w:kern w:val="0"/>
      <w:sz w:val="28"/>
      <w:szCs w:val="28"/>
      <w:lang w:eastAsia="en-US"/>
    </w:rPr>
  </w:style>
  <w:style w:type="paragraph" w:styleId="4">
    <w:name w:val="heading 3"/>
    <w:basedOn w:val="1"/>
    <w:next w:val="1"/>
    <w:semiHidden/>
    <w:unhideWhenUsed/>
    <w:qFormat/>
    <w:uiPriority w:val="0"/>
    <w:pPr>
      <w:keepNext/>
      <w:keepLines/>
      <w:numPr>
        <w:ilvl w:val="2"/>
        <w:numId w:val="1"/>
      </w:numPr>
      <w:spacing w:before="260" w:beforeLines="0" w:beforeAutospacing="0" w:after="260" w:afterLines="0" w:afterAutospacing="0" w:line="413" w:lineRule="auto"/>
      <w:ind w:left="720" w:hanging="720"/>
      <w:outlineLvl w:val="2"/>
    </w:pPr>
    <w:rPr>
      <w:b/>
      <w:sz w:val="32"/>
    </w:rPr>
  </w:style>
  <w:style w:type="paragraph" w:styleId="5">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6">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2" w:hanging="1152"/>
      <w:outlineLvl w:val="5"/>
    </w:pPr>
    <w:rPr>
      <w:rFonts w:ascii="Arial" w:hAnsi="Arial" w:eastAsia="黑体"/>
      <w:b/>
      <w:sz w:val="24"/>
    </w:rPr>
  </w:style>
  <w:style w:type="paragraph" w:styleId="7">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b/>
      <w:sz w:val="24"/>
    </w:rPr>
  </w:style>
  <w:style w:type="paragraph" w:styleId="8">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9">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10">
    <w:name w:val="Normal Indent"/>
    <w:basedOn w:val="1"/>
    <w:qFormat/>
    <w:uiPriority w:val="0"/>
    <w:pPr>
      <w:ind w:firstLine="420" w:firstLineChars="200"/>
    </w:pPr>
  </w:style>
  <w:style w:type="character" w:customStyle="1" w:styleId="13">
    <w:name w:val="标题 1 字符"/>
    <w:link w:val="2"/>
    <w:qFormat/>
    <w:uiPriority w:val="0"/>
    <w:rPr>
      <w:rFonts w:ascii="宋体" w:hAnsi="宋体" w:eastAsia="宋体" w:cs="宋体"/>
      <w:b/>
      <w:bCs/>
      <w:snapToGrid w:val="0"/>
      <w:color w:val="auto"/>
      <w:spacing w:val="-4"/>
      <w:kern w:val="0"/>
      <w:sz w:val="28"/>
      <w:szCs w:val="28"/>
      <w:lang w:val="en-US" w:eastAsia="en-US" w:bidi="ar-SA"/>
    </w:rPr>
  </w:style>
  <w:style w:type="paragraph" w:customStyle="1" w:styleId="14">
    <w:name w:val="样式 首行缩进:  2 字符"/>
    <w:basedOn w:val="1"/>
    <w:autoRedefine/>
    <w:qFormat/>
    <w:uiPriority w:val="0"/>
    <w:pPr>
      <w:widowControl w:val="0"/>
      <w:ind w:firstLine="420" w:firstLineChars="200"/>
      <w:jc w:val="both"/>
    </w:pPr>
    <w:rPr>
      <w:rFonts w:cs="宋体"/>
      <w:kern w:val="2"/>
      <w:sz w:val="21"/>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2025-08-08T03:17:00Z</dcterms:created>
  <dc:creator>清风</dc:creator>
  <cp:lastModifiedBy>清风</cp:lastModifiedBy>
  <dcterms:modified xsi:type="dcterms:W3CDTF">2025-08-08T03:17:59Z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CF70ECF862B94495A733D1DDD28FFA0C_11</vt:lpwstr>
  </property>
  <property fmtid="{D5CDD505-2E9C-101B-9397-08002B2CF9AE}" pid="4" name="KSOTemplateDocerSaveRecord">
    <vt:lpwstr>eyJoZGlkIjoiNjRkMGM4ZjY4NGM4MGIyYWNiOTcwNzFhNjBhOTUyNjUiLCJ1c2VySWQiOiIzNzYzNDA5OTIifQ==</vt:lpwstr>
  </property>
</Properties>
</file>